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t>Stomatologia dziecięca z profilaktyką stomatologiczną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E36E2" w:rsidRPr="00EE36E2" w:rsidRDefault="00EE36E2" w:rsidP="00EE36E2">
            <w:pPr>
              <w:rPr>
                <w:lang w:eastAsia="pl-PL"/>
              </w:rPr>
            </w:pPr>
            <w:r w:rsidRPr="00BF4558">
              <w:rPr>
                <w:b/>
                <w:color w:val="000000"/>
                <w:sz w:val="18"/>
                <w:szCs w:val="18"/>
              </w:rPr>
              <w:t>Nauki kliniczne, kierunkowe (zabiegowe)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523D6F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D27665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EE36E2" w:rsidRDefault="00EE36E2" w:rsidP="00BA2B32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EE36E2">
              <w:rPr>
                <w:rFonts w:ascii="Calibri Light" w:hAnsi="Calibri Light"/>
                <w:b/>
                <w:sz w:val="18"/>
                <w:szCs w:val="18"/>
              </w:rPr>
              <w:t>1</w:t>
            </w:r>
            <w:r w:rsidR="002A605A">
              <w:rPr>
                <w:rFonts w:ascii="Calibri Light" w:hAnsi="Calibri Light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EE36E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2A605A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2A605A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E36E2" w:rsidRDefault="00EF0D47" w:rsidP="00EE36E2">
            <w:pPr>
              <w:spacing w:after="0"/>
              <w:jc w:val="both"/>
              <w:rPr>
                <w:bCs/>
                <w:color w:val="000000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EE36E2">
              <w:rPr>
                <w:bCs/>
                <w:color w:val="000000"/>
              </w:rPr>
              <w:t xml:space="preserve">C1. </w:t>
            </w:r>
            <w:r w:rsidR="00EE36E2"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="00EE36E2" w:rsidRPr="00AE0706">
              <w:t>u pacjentów w wieku rozwojowym.</w:t>
            </w:r>
            <w:r w:rsidR="00EE36E2" w:rsidRPr="00AE0706">
              <w:rPr>
                <w:bCs/>
                <w:color w:val="000000"/>
              </w:rPr>
              <w:t xml:space="preserve">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 xml:space="preserve">Przygotowanie studenta do leczenia odtwórczego ubytków twardych tkanek zębów próchnicowego i </w:t>
            </w:r>
            <w:proofErr w:type="spellStart"/>
            <w:r w:rsidRPr="00AE0706">
              <w:rPr>
                <w:bCs/>
                <w:color w:val="000000"/>
              </w:rPr>
              <w:t>niepróchnicowego</w:t>
            </w:r>
            <w:proofErr w:type="spellEnd"/>
            <w:r w:rsidRPr="00AE0706">
              <w:rPr>
                <w:bCs/>
                <w:color w:val="000000"/>
              </w:rPr>
              <w:t xml:space="preserve">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</w:t>
            </w:r>
            <w:proofErr w:type="spellStart"/>
            <w:r w:rsidRPr="00AE0706">
              <w:rPr>
                <w:bCs/>
                <w:color w:val="000000"/>
              </w:rPr>
              <w:t>endodontycznego</w:t>
            </w:r>
            <w:proofErr w:type="spellEnd"/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EE36E2" w:rsidRDefault="00EE36E2" w:rsidP="00EE36E2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EE36E2" w:rsidRDefault="00EE36E2" w:rsidP="00EE36E2">
            <w:pPr>
              <w:spacing w:after="0" w:line="240" w:lineRule="auto"/>
              <w:rPr>
                <w:rFonts w:ascii="Calibri Light" w:hAnsi="Calibri Light"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EE36E2">
              <w:rPr>
                <w:rFonts w:ascii="Calibri Light" w:hAnsi="Calibri Light"/>
                <w:sz w:val="18"/>
                <w:szCs w:val="18"/>
              </w:rPr>
              <w:t>- do 7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F.W.1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Opisuje rozwój zęba morfologię zębów i przyzębia, błony śluzowej  jamy ustnej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CW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707BA5" w:rsidP="007076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 w:rsidR="00707BA5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 xml:space="preserve">Definiuje zasady postępowania w chorobach twardych tkanek zęba pochodzenia próchnicowego i </w:t>
            </w:r>
            <w:proofErr w:type="spellStart"/>
            <w:r w:rsidRPr="00B529DB">
              <w:t>niepróchnicowego</w:t>
            </w:r>
            <w:proofErr w:type="spellEnd"/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W0</w:t>
            </w:r>
            <w:r w:rsidR="00707BA5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Objaśnia zasady postępowania w pourazowych uszkodzeniach zębów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lastRenderedPageBreak/>
              <w:t xml:space="preserve"> W0</w:t>
            </w:r>
            <w:r w:rsidR="00707BA5">
              <w:rPr>
                <w:b/>
                <w:bCs/>
              </w:rPr>
              <w:t>5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F.W.8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Definiuje zasady postępowania w chorobach miazgi i tkanek  okołowierzchołkowych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707BA5" w:rsidP="007076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  <w:r w:rsidRPr="00B529DB">
              <w:rPr>
                <w:b/>
                <w:bCs/>
              </w:rPr>
              <w:t>F.W.13</w:t>
            </w:r>
          </w:p>
          <w:p w:rsidR="00EE36E2" w:rsidRPr="00B529DB" w:rsidRDefault="00EE36E2" w:rsidP="0070762A">
            <w:pPr>
              <w:spacing w:after="0"/>
              <w:rPr>
                <w:b/>
                <w:bCs/>
              </w:rPr>
            </w:pPr>
          </w:p>
          <w:p w:rsidR="00EE36E2" w:rsidRPr="00B529DB" w:rsidRDefault="00EE36E2" w:rsidP="0070762A">
            <w:pPr>
              <w:spacing w:after="0"/>
              <w:rPr>
                <w:b/>
              </w:rPr>
            </w:pP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>Definiuje  wskazania i przeciwwskazania do wykonania zabiegów w zakresie stomatologii estetycznej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>SE, WY, 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  <w:bCs/>
              </w:rPr>
              <w:t xml:space="preserve"> W</w:t>
            </w:r>
            <w:r w:rsidR="00707BA5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spacing w:after="0"/>
              <w:rPr>
                <w:b/>
              </w:rPr>
            </w:pPr>
            <w:r w:rsidRPr="00B529DB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EE36E2" w:rsidRPr="00B529DB" w:rsidRDefault="00EE36E2" w:rsidP="0070762A">
            <w:r w:rsidRPr="00B529DB">
              <w:t xml:space="preserve">Opisuje  i </w:t>
            </w:r>
            <w:r w:rsidR="00015605">
              <w:t xml:space="preserve"> </w:t>
            </w:r>
            <w:r w:rsidRPr="00B529DB">
              <w:t>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CK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</w:t>
            </w:r>
            <w:r w:rsidR="00F47E5A"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badanie fizykalne pacjenta i potrafi zinterpretować wyniki badań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F47E5A" w:rsidP="0070762A">
            <w:r>
              <w:t>SE, CK</w:t>
            </w:r>
            <w:r w:rsidR="00EE36E2" w:rsidRPr="00B529DB">
              <w:t xml:space="preserve">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SE,  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EE36E2" w:rsidRPr="00B529DB" w:rsidRDefault="00EE36E2" w:rsidP="0070762A">
            <w:pPr>
              <w:rPr>
                <w:b/>
              </w:rPr>
            </w:pPr>
            <w:r w:rsidRPr="00B529DB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B529DB" w:rsidRDefault="00EE36E2" w:rsidP="0070762A">
            <w:r w:rsidRPr="00B529DB"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EE36E2" w:rsidRPr="00B529DB" w:rsidRDefault="00EE36E2" w:rsidP="0070762A">
            <w:r w:rsidRPr="00B529DB"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B529DB" w:rsidRDefault="00EE36E2" w:rsidP="0070762A">
            <w:r w:rsidRPr="00B529DB"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 xml:space="preserve">Współpracuje  w grupie profesjonalistów, w środowisku wielokulturowym i </w:t>
            </w:r>
            <w:r w:rsidRPr="00B529DB">
              <w:lastRenderedPageBreak/>
              <w:t>wielonarodowościowym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lastRenderedPageBreak/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lastRenderedPageBreak/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lastRenderedPageBreak/>
              <w:t xml:space="preserve">SE,  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1276" w:type="dxa"/>
            <w:gridSpan w:val="4"/>
          </w:tcPr>
          <w:p w:rsidR="00D27665" w:rsidRPr="00B529DB" w:rsidRDefault="00D27665" w:rsidP="0070762A">
            <w:pPr>
              <w:rPr>
                <w:b/>
              </w:rPr>
            </w:pPr>
            <w:r w:rsidRPr="00B529DB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B529DB" w:rsidRDefault="00D27665" w:rsidP="0070762A">
            <w:r w:rsidRPr="00B529DB">
              <w:t xml:space="preserve">Aktywnie uczestniczy w promocji zdrowia jamy ustnej </w:t>
            </w:r>
            <w:r w:rsidR="009B0F65" w:rsidRPr="008869AF">
              <w:rPr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5"/>
          </w:tcPr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9B0F65" w:rsidRPr="008869AF" w:rsidRDefault="009B0F65" w:rsidP="009B0F6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B529DB" w:rsidRDefault="009B0F65" w:rsidP="009B0F65"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B529DB" w:rsidRDefault="00D27665" w:rsidP="0070762A">
            <w:r w:rsidRPr="00B529DB">
              <w:t xml:space="preserve">SE,  CK,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D27665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</w:t>
            </w:r>
            <w:r w:rsidR="00D27665">
              <w:rPr>
                <w:rFonts w:ascii="Calibri Light" w:hAnsi="Calibri Light"/>
              </w:rPr>
              <w:t>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D27665">
              <w:rPr>
                <w:rFonts w:ascii="Calibri Light" w:hAnsi="Calibri Light"/>
              </w:rPr>
              <w:t xml:space="preserve"> społeczne: 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D27665" w:rsidRPr="00B61163" w:rsidTr="00D2766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D27665" w:rsidRPr="00B61163" w:rsidRDefault="00D2766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D27665" w:rsidRPr="00B61163" w:rsidRDefault="00D27665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D27665" w:rsidRDefault="00D27665" w:rsidP="00D276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  <w:p w:rsidR="00D27665" w:rsidRPr="00B61163" w:rsidRDefault="00D27665" w:rsidP="00D27665">
            <w:pPr>
              <w:spacing w:after="0"/>
              <w:rPr>
                <w:rFonts w:ascii="Calibri Light" w:hAnsi="Calibri Light"/>
              </w:rPr>
            </w:pPr>
            <w:r>
              <w:rPr>
                <w:b/>
                <w:bCs/>
                <w:sz w:val="18"/>
                <w:szCs w:val="18"/>
              </w:rPr>
              <w:t>Po semestrze letnim</w:t>
            </w:r>
          </w:p>
        </w:tc>
      </w:tr>
      <w:tr w:rsidR="00D27665" w:rsidRPr="00B61163" w:rsidTr="0070762A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D27665" w:rsidRPr="00B61163" w:rsidRDefault="00D2766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Sem.zim</w:t>
            </w:r>
            <w:proofErr w:type="spellEnd"/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</w:t>
            </w:r>
            <w:proofErr w:type="spellEnd"/>
            <w:r>
              <w:rPr>
                <w:rFonts w:ascii="Calibri Light" w:hAnsi="Calibri Light" w:cs="Times"/>
                <w:b/>
                <w:bCs/>
              </w:rPr>
              <w:t>. letni</w:t>
            </w:r>
          </w:p>
        </w:tc>
        <w:tc>
          <w:tcPr>
            <w:tcW w:w="1418" w:type="dxa"/>
            <w:gridSpan w:val="4"/>
            <w:vMerge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  <w:r w:rsidR="008B2688">
              <w:rPr>
                <w:rFonts w:ascii="Calibri Light" w:hAnsi="Calibri Light"/>
              </w:rPr>
              <w:t>8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  <w:r w:rsidR="008B2688">
              <w:rPr>
                <w:rFonts w:ascii="Calibri Light" w:hAnsi="Calibri Light"/>
              </w:rPr>
              <w:t>2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9B0F65" w:rsidRPr="00835A87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="009B0F65" w:rsidRPr="009B0F65">
              <w:rPr>
                <w:rFonts w:eastAsia="Times New Roman"/>
                <w:sz w:val="20"/>
                <w:szCs w:val="20"/>
              </w:rPr>
              <w:t xml:space="preserve">Samodzielne przygotowanie się do zajęć teoretycznych i praktycznych (wykonanie projektu, dokumentacji, opisu przypadku itp.) Samodzielne przygotowanie się do zaliczeń/kolokwiów .Samodzielne przygotowanie się do egzaminu/zaliczenia </w:t>
            </w:r>
            <w:r w:rsidR="009B0F65" w:rsidRPr="009B0F65">
              <w:rPr>
                <w:rFonts w:eastAsia="Times New Roman"/>
                <w:sz w:val="20"/>
                <w:szCs w:val="20"/>
              </w:rPr>
              <w:lastRenderedPageBreak/>
              <w:t>końcowego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lastRenderedPageBreak/>
              <w:t>4</w:t>
            </w:r>
            <w:r w:rsidR="008B2688">
              <w:rPr>
                <w:rFonts w:ascii="Calibri Light" w:hAnsi="Calibri Light"/>
              </w:rPr>
              <w:t>5</w:t>
            </w:r>
          </w:p>
        </w:tc>
        <w:tc>
          <w:tcPr>
            <w:tcW w:w="709" w:type="dxa"/>
            <w:gridSpan w:val="2"/>
          </w:tcPr>
          <w:p w:rsidR="00D27665" w:rsidRPr="00B61163" w:rsidRDefault="008B2688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18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</w:t>
            </w:r>
          </w:p>
        </w:tc>
        <w:tc>
          <w:tcPr>
            <w:tcW w:w="709" w:type="dxa"/>
            <w:gridSpan w:val="2"/>
          </w:tcPr>
          <w:p w:rsidR="00D27665" w:rsidRPr="00B61163" w:rsidRDefault="008B2688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</w:t>
            </w:r>
            <w:r w:rsidR="00D27665">
              <w:rPr>
                <w:rFonts w:ascii="Calibri Light" w:hAnsi="Calibri Light"/>
              </w:rPr>
              <w:t>0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709" w:type="dxa"/>
            <w:gridSpan w:val="2"/>
          </w:tcPr>
          <w:p w:rsidR="00D27665" w:rsidRPr="00B61163" w:rsidRDefault="008B2688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1418" w:type="dxa"/>
            <w:gridSpan w:val="4"/>
          </w:tcPr>
          <w:p w:rsidR="00D27665" w:rsidRPr="0068640C" w:rsidRDefault="00D27665" w:rsidP="007076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D27665" w:rsidRPr="00B61163" w:rsidTr="0070762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D27665" w:rsidRPr="00B61163" w:rsidRDefault="00D27665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733129" w:rsidRDefault="00BA2B32" w:rsidP="00733129">
            <w:pPr>
              <w:pStyle w:val="Tekstpodstawowy3"/>
              <w:rPr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CA0893">
            <w:pPr>
              <w:spacing w:after="0" w:line="240" w:lineRule="auto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 w:rsidR="00733129">
              <w:rPr>
                <w:rFonts w:ascii="Calibri Light" w:hAnsi="Calibri Light" w:cs="Times"/>
                <w:b/>
              </w:rPr>
              <w:t>- semestr zimowy</w:t>
            </w:r>
          </w:p>
          <w:p w:rsidR="00CA0893" w:rsidRPr="00CA0893" w:rsidRDefault="00CA0893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</w:rPr>
              <w:t>I</w:t>
            </w:r>
            <w:r w:rsidRPr="00CA08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A2B32" w:rsidRPr="00CA0893">
              <w:rPr>
                <w:rFonts w:ascii="Times New Roman" w:hAnsi="Times New Roman"/>
                <w:sz w:val="20"/>
                <w:szCs w:val="20"/>
              </w:rPr>
              <w:t>1.</w:t>
            </w:r>
            <w:r w:rsidR="00733129" w:rsidRPr="00CA08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Komunikacja  z  pacjentem w wieku rozwojowym werbalna i niewerbalna; triada lekarz-rodzic-dziecko2. Metody adaptacji dziecka do leczenia stomatologicznego: techniki behawioralne, n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iefarmakologiczne: 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komunikacyjne, obecność vs. brak obecności rodziców, ochronna stabilizacja i unieruchomienie oraz farmakologiczne: sedacja, znieczulenie ogólne3. Zachowanie dziecka w gabinecie stomatologicznym w aspekcie rozwoju osobniczego, czynniki wpływające na zachowanie – lęk stomatologiczny matki i dziecka, klasyfikacja zachowania dziecka w gabinecie stomatologicznym</w:t>
            </w:r>
          </w:p>
          <w:p w:rsidR="00CA0893" w:rsidRPr="00CA0893" w:rsidRDefault="00CA0893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93">
              <w:rPr>
                <w:rFonts w:ascii="Times New Roman" w:hAnsi="Times New Roman"/>
                <w:sz w:val="20"/>
                <w:szCs w:val="20"/>
              </w:rPr>
              <w:t xml:space="preserve">II. 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Anatomia i histologia zębów mlecznych i stałych niedojrzałych; różnice w budowie zębów mlecznych i stałych, aspekt terapeutyczny 2 Okresy wyrzynania zębów mlecznych i resorpcji korzeni. Wyrzynanie zębów stałych. Okresy zakończenia rozwoju korzeni. </w:t>
            </w:r>
          </w:p>
          <w:p w:rsidR="00CA0893" w:rsidRPr="00CA0893" w:rsidRDefault="00CA0893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93">
              <w:rPr>
                <w:rFonts w:ascii="Times New Roman" w:hAnsi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1.Próchnica zębów mlecznych - próchnica wczesna (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caries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precox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early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childhood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caries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ECC), epidemiologia, definicja, klasyfikacje, główne czynniki etiologiczne i usposabiające; określanie ryzyka próchnicy, Postępowanie zapobiegawcze,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technique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IRT)..Zalecenia dla dziecka i rodziców,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nastepstwa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nieleczonej próchnicy</w:t>
            </w:r>
          </w:p>
          <w:p w:rsidR="00CA0893" w:rsidRPr="00CA0893" w:rsidRDefault="00733129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93">
              <w:rPr>
                <w:rFonts w:ascii="Times New Roman" w:hAnsi="Times New Roman"/>
                <w:sz w:val="20"/>
                <w:szCs w:val="20"/>
              </w:rPr>
              <w:t>.</w:t>
            </w:r>
            <w:r w:rsidR="00CA0893" w:rsidRPr="00CA0893">
              <w:rPr>
                <w:rFonts w:ascii="Times New Roman" w:hAnsi="Times New Roman"/>
                <w:sz w:val="20"/>
                <w:szCs w:val="20"/>
              </w:rPr>
              <w:t xml:space="preserve">IV. </w:t>
            </w:r>
            <w:r w:rsidR="00CA0893"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1.Choroby miazgi zębów mlecznych: etiopatogeneza, symptomatologia, klasyfikacje, diagnostyka, leczenie i rokowanie2.Leki i materiały w leczeniu </w:t>
            </w:r>
            <w:proofErr w:type="spellStart"/>
            <w:r w:rsidR="00CA0893"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endodontycznym</w:t>
            </w:r>
            <w:proofErr w:type="spellEnd"/>
            <w:r w:rsidR="00CA0893"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zębów mlecznych 3.Powikłania w trakcie i po leczeniu </w:t>
            </w:r>
          </w:p>
          <w:p w:rsidR="00BA2B32" w:rsidRPr="00CA0893" w:rsidRDefault="00CA0893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93">
              <w:rPr>
                <w:rFonts w:ascii="Times New Roman" w:hAnsi="Times New Roman"/>
                <w:sz w:val="20"/>
                <w:szCs w:val="20"/>
              </w:rPr>
              <w:t>V.</w:t>
            </w:r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Próchnica zębów stałych niedojrzałych ; czynniki warunkujące rozwój próchnicy na powierzchniach żujących zębów stałych, diagnostyka, ocena  zaawansowania zmian próchnicowych w aspekcie wyboru postępowania terapeutycznego 2. Ochrona przed próchnicą wyrzynających się pierwszych  zębów trzonowych;  uszczelnianie bruzd i dołków- wskazania i przeciwwskazania, wybór materiału. Leczenie minimalnie inwazyjne: wypełnienie zapobiegawcze </w:t>
            </w:r>
          </w:p>
          <w:p w:rsidR="00CA0893" w:rsidRPr="00CA0893" w:rsidRDefault="00CA0893" w:rsidP="00CA0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VI.Choroby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miazgi zębów stałych niedojrzałych: etiopatogeneza, symptomatologia, klasyfikacje, diagnostyka, leczenie i rokowanie2.Leki i materiały stosowane w leczeniu endodontycznym3.Powikłania w trakcie i po leczeniu .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Apeksyfikacja</w:t>
            </w:r>
            <w:proofErr w:type="spellEnd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A0893">
              <w:rPr>
                <w:rFonts w:ascii="Times New Roman" w:hAnsi="Times New Roman"/>
                <w:color w:val="000000"/>
                <w:sz w:val="20"/>
                <w:szCs w:val="20"/>
              </w:rPr>
              <w:t>apeksogeneza</w:t>
            </w:r>
            <w:proofErr w:type="spellEnd"/>
          </w:p>
          <w:p w:rsidR="00990CDC" w:rsidRDefault="00990CDC" w:rsidP="00990CDC">
            <w:pPr>
              <w:spacing w:after="0" w:line="240" w:lineRule="auto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>
              <w:rPr>
                <w:rFonts w:ascii="Calibri Light" w:hAnsi="Calibri Light" w:cs="Times"/>
                <w:b/>
              </w:rPr>
              <w:t>- semestr letni</w:t>
            </w:r>
          </w:p>
          <w:p w:rsidR="00CA0893" w:rsidRPr="00F269C5" w:rsidRDefault="00F269C5" w:rsidP="00F269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 1.Zapobieganie próchnicy zębów u dzieci: pierwotne, wczesne, konwencjonalne (prenatalne, perinatalne, </w:t>
            </w:r>
            <w:proofErr w:type="spellStart"/>
            <w:r w:rsidR="00990CDC" w:rsidRPr="007C55C2">
              <w:rPr>
                <w:rFonts w:ascii="Times New Roman" w:hAnsi="Times New Roman"/>
                <w:sz w:val="20"/>
                <w:szCs w:val="20"/>
              </w:rPr>
              <w:t>ponatalne</w:t>
            </w:r>
            <w:proofErr w:type="spellEnd"/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)2.Transmisja bakterii </w:t>
            </w:r>
            <w:proofErr w:type="spellStart"/>
            <w:r w:rsidR="00990CDC" w:rsidRPr="007C55C2">
              <w:rPr>
                <w:rFonts w:ascii="Times New Roman" w:hAnsi="Times New Roman"/>
                <w:sz w:val="20"/>
                <w:szCs w:val="20"/>
              </w:rPr>
              <w:t>próchnicotwórczych</w:t>
            </w:r>
            <w:proofErr w:type="spellEnd"/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, okna </w:t>
            </w:r>
            <w:proofErr w:type="spellStart"/>
            <w:r w:rsidR="00990CDC" w:rsidRPr="007C55C2">
              <w:rPr>
                <w:rFonts w:ascii="Times New Roman" w:hAnsi="Times New Roman"/>
                <w:sz w:val="20"/>
                <w:szCs w:val="20"/>
              </w:rPr>
              <w:t>infekcyjności;obniżanie</w:t>
            </w:r>
            <w:proofErr w:type="spellEnd"/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 poziomu bakterii w jamie ustnej</w:t>
            </w:r>
            <w:r w:rsidR="00990CDC" w:rsidRPr="007C55C2">
              <w:rPr>
                <w:rFonts w:ascii="Times New Roman" w:hAnsi="Times New Roman"/>
                <w:bCs/>
                <w:sz w:val="20"/>
                <w:szCs w:val="20"/>
              </w:rPr>
              <w:t>.3.Kariogenność  węglowodanów</w:t>
            </w:r>
          </w:p>
          <w:p w:rsidR="00990CDC" w:rsidRPr="007C55C2" w:rsidRDefault="00F269C5" w:rsidP="00990CDC">
            <w:pPr>
              <w:pStyle w:val="Tekstpodstawowy2"/>
              <w:spacing w:after="0" w:line="240" w:lineRule="auto"/>
              <w:ind w:right="-9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 1.Higiena jamy ustnej –  pasty, płukanki – skład, właściwości, rodzaje,  szczotek i wskazania, techniki szczotkowania, oczyszczanie języka, oczyszczanie </w:t>
            </w:r>
            <w:proofErr w:type="spellStart"/>
            <w:r w:rsidR="00990CDC" w:rsidRPr="007C55C2">
              <w:rPr>
                <w:rFonts w:ascii="Times New Roman" w:hAnsi="Times New Roman"/>
                <w:sz w:val="20"/>
                <w:szCs w:val="20"/>
              </w:rPr>
              <w:t>prestrzeni</w:t>
            </w:r>
            <w:proofErr w:type="spellEnd"/>
            <w:r w:rsidR="00990CDC" w:rsidRPr="007C5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90CDC" w:rsidRPr="007C55C2">
              <w:rPr>
                <w:rFonts w:ascii="Times New Roman" w:hAnsi="Times New Roman"/>
                <w:sz w:val="20"/>
                <w:szCs w:val="20"/>
              </w:rPr>
              <w:t>międyzębowych</w:t>
            </w:r>
            <w:proofErr w:type="spellEnd"/>
            <w:r w:rsidR="00990CDC" w:rsidRPr="007C55C2">
              <w:rPr>
                <w:rFonts w:ascii="Times New Roman" w:hAnsi="Times New Roman"/>
                <w:sz w:val="20"/>
                <w:szCs w:val="20"/>
              </w:rPr>
              <w:t>, kontrola skuteczności szczotkowania.2. Profilaktyka fluorkowa profesjonalna i domowa</w:t>
            </w:r>
          </w:p>
          <w:p w:rsidR="00990CDC" w:rsidRDefault="00F269C5" w:rsidP="00990CDC">
            <w:pPr>
              <w:pStyle w:val="Tekstpodstawowy2"/>
              <w:spacing w:after="0" w:line="240" w:lineRule="auto"/>
              <w:ind w:right="-9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990CDC" w:rsidRPr="007C55C2">
              <w:rPr>
                <w:rFonts w:ascii="Times New Roman" w:hAnsi="Times New Roman"/>
                <w:sz w:val="20"/>
                <w:szCs w:val="20"/>
              </w:rPr>
              <w:t>. 1.Pierwsza wizyta dziecka w gabinecie stomatologicznym, termin i przebieg 2.Edukacja prozdrowotna kobiety ciężarnej. 3.Motywacja do postaw prozdrowotnych matki i dziecka</w:t>
            </w:r>
          </w:p>
          <w:p w:rsidR="00F269C5" w:rsidRPr="00990CDC" w:rsidRDefault="00F269C5" w:rsidP="00990CDC">
            <w:pPr>
              <w:pStyle w:val="Tekstpodstawowy2"/>
              <w:spacing w:after="0" w:line="240" w:lineRule="auto"/>
              <w:ind w:right="-995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Zapalenia dziąseł u dzieci i młodzieży-etiologia, specyfika, obraz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klioniczny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różnicowanie, leczenie;  nieprawidłowy przyczep wędzidełek warg i języka-postępowanie terapeutyczne. Zapalenia przyzębia u dzieci i młodzieży-przyczyny, objawy, podziały, badanie, postępowanie terapeutyczne, powikłania; zapalenia przyzębia w przebiegu chorób ogólnoustrojowych i polekowe. Choroby błony śluzowej u dzieci i młodzieży- postępowanie terapeutyczne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 w:rsidR="00733129">
              <w:rPr>
                <w:rFonts w:ascii="Calibri Light" w:hAnsi="Calibri Light" w:cs="Times"/>
                <w:b/>
              </w:rPr>
              <w:t>- semestr zimowy</w:t>
            </w:r>
          </w:p>
          <w:p w:rsidR="00BA2B32" w:rsidRDefault="00BA2B32" w:rsidP="00733129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7950"/>
            </w:tblGrid>
            <w:tr w:rsidR="00533BD3" w:rsidTr="00802D65">
              <w:trPr>
                <w:trHeight w:val="422"/>
              </w:trPr>
              <w:tc>
                <w:tcPr>
                  <w:tcW w:w="1277" w:type="dxa"/>
                </w:tcPr>
                <w:p w:rsidR="00533BD3" w:rsidRDefault="00533BD3" w:rsidP="00990CD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7950" w:type="dxa"/>
                </w:tcPr>
                <w:p w:rsidR="00533BD3" w:rsidRDefault="00533BD3" w:rsidP="00990CDC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533BD3" w:rsidTr="00802D65">
              <w:trPr>
                <w:trHeight w:val="400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pStyle w:val="Nagwek5"/>
                    <w:spacing w:after="0" w:line="240" w:lineRule="auto"/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</w:pPr>
                  <w:r w:rsidRPr="00533BD3">
                    <w:rPr>
                      <w:b w:val="0"/>
                      <w:bCs w:val="0"/>
                      <w:i w:val="0"/>
                      <w:sz w:val="18"/>
                      <w:szCs w:val="18"/>
                    </w:rPr>
                    <w:t xml:space="preserve">Ćwiczenie 1 </w:t>
                  </w:r>
                </w:p>
              </w:tc>
              <w:tc>
                <w:tcPr>
                  <w:tcW w:w="7950" w:type="dxa"/>
                </w:tcPr>
                <w:p w:rsidR="00533BD3" w:rsidRP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Komunikacja  z  pacjentem w wieku rozwojowym (werbalna i niewerbalna; triada lekarz-rodzic-dziecko)</w:t>
                  </w:r>
                  <w:r>
                    <w:rPr>
                      <w:color w:val="000000"/>
                      <w:sz w:val="18"/>
                      <w:szCs w:val="18"/>
                    </w:rPr>
                    <w:br/>
                    <w:t>Metody adaptacji dziecka do leczenia stomatologicznego: techniki behawioralne, niefarmakologiczne, komunikacyjne (obecność vs. brak obecności rodziców), ochronna (stabilizacja i unieruchomienie) oraz farmakologiczne (sedacja, znieczulenie ogólne)</w:t>
                  </w:r>
                  <w:r>
                    <w:rPr>
                      <w:color w:val="000000"/>
                      <w:sz w:val="18"/>
                      <w:szCs w:val="18"/>
                    </w:rPr>
                    <w:br/>
                    <w:t xml:space="preserve">Zachowanie dziecka w gabinecie stomatologicznym w aspekcie rozwoju osobniczego, czynniki wpływające na zachowanie – lęk stomatologiczny matki i dziecka, klasyfikacja zachowania dziecka w gabinecie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stomatologicznymOmówienie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karty pacjenta ze szczególnym uwzględnieniem wskaźników  jamy ustnej.</w:t>
                  </w:r>
                </w:p>
              </w:tc>
            </w:tr>
            <w:tr w:rsidR="00533BD3" w:rsidTr="00802D65">
              <w:trPr>
                <w:trHeight w:val="737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lastRenderedPageBreak/>
                    <w:t>Ćwiczenie 2</w:t>
                  </w:r>
                </w:p>
              </w:tc>
              <w:tc>
                <w:tcPr>
                  <w:tcW w:w="7950" w:type="dxa"/>
                </w:tcPr>
                <w:p w:rsid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Rozwój zębów mlecznych i stałych (fazy i czas wyrzynania; resorpcja zębów mlecznych, mechanizm wyrzynania, okresy wyrzynania; fazy rozwoju korzeni  (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apeksogeneza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  <w:p w:rsid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Zaburzenia wyrzynania (miejscowe, ogólne, miejsca i czasu wyrzynania)</w:t>
                  </w:r>
                </w:p>
                <w:p w:rsidR="00533BD3" w:rsidRP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Anatomia i histologia zębów mlecznych i stałych niedojrzałych ( różnice w budowie zębów mlecznych i stałych, aspekt terapeutyczny) </w:t>
                  </w:r>
                </w:p>
              </w:tc>
            </w:tr>
            <w:tr w:rsidR="00533BD3" w:rsidTr="00802D65">
              <w:trPr>
                <w:trHeight w:val="520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3</w:t>
                  </w:r>
                </w:p>
              </w:tc>
              <w:tc>
                <w:tcPr>
                  <w:tcW w:w="7950" w:type="dxa"/>
                </w:tcPr>
                <w:p w:rsidR="00533BD3" w:rsidRPr="00533BD3" w:rsidRDefault="00CA0893" w:rsidP="00990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Esej ćw. 1 i 2</w:t>
                  </w:r>
                </w:p>
              </w:tc>
            </w:tr>
            <w:tr w:rsidR="00533BD3" w:rsidTr="00802D65">
              <w:trPr>
                <w:trHeight w:val="414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4</w:t>
                  </w:r>
                </w:p>
              </w:tc>
              <w:tc>
                <w:tcPr>
                  <w:tcW w:w="7950" w:type="dxa"/>
                </w:tcPr>
                <w:p w:rsid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Próchnica zębów mlecznych (próchnica wczesna (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precox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early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childhood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caries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– ECC), epidemiologia, definicja, klasyfikacje, główne czynniki etiologiczne i usposabiające; określanie ryzyka próchnicy) </w:t>
                  </w:r>
                </w:p>
                <w:p w:rsidR="00533BD3" w:rsidRPr="00533BD3" w:rsidRDefault="00CA0893" w:rsidP="00990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Postępowanie zapobiegawcze,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technique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>).</w:t>
                  </w:r>
                </w:p>
              </w:tc>
            </w:tr>
            <w:tr w:rsidR="00533BD3" w:rsidTr="00802D65">
              <w:trPr>
                <w:trHeight w:val="533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5</w:t>
                  </w:r>
                </w:p>
              </w:tc>
              <w:tc>
                <w:tcPr>
                  <w:tcW w:w="7950" w:type="dxa"/>
                </w:tcPr>
                <w:p w:rsidR="00533BD3" w:rsidRPr="00CA0893" w:rsidRDefault="00CA0893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Próchnica zębów stałych niedojrzałych ; czynniki warunkujące rozwój próchnicy na powierzchniach żujących zębów stałych, diagnostyka, ocena  zaawansowania zmian próchnicowych w aspekcie wyboru postępowania terapeutycznego Ochrona przed próchnicą wyrzynających się pierwszych  zębów trzonowych;  uszczelnianie bruzd i dołków- wskazania i przeciwwskazania, wybór materiału. Leczenie minimalnie inwazyjne: wypełnienie zapobiegawcze – PRR typ 1 (poszerzone lakowanie) i typ 2  (wypełnienie zapobiegawcze),  opracowanie ubytku, materiały do wypełnień; wybór  metody opracowania ubytku i materiału odtwórczego w aspekcie zaawansowania zmiany.</w:t>
                  </w:r>
                </w:p>
              </w:tc>
            </w:tr>
            <w:tr w:rsidR="00533BD3" w:rsidTr="00990CDC">
              <w:trPr>
                <w:trHeight w:val="333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6</w:t>
                  </w:r>
                </w:p>
              </w:tc>
              <w:tc>
                <w:tcPr>
                  <w:tcW w:w="7950" w:type="dxa"/>
                </w:tcPr>
                <w:p w:rsidR="00533BD3" w:rsidRPr="00533BD3" w:rsidRDefault="00990CDC" w:rsidP="00990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test tematów 4 i 5</w:t>
                  </w:r>
                </w:p>
              </w:tc>
            </w:tr>
            <w:tr w:rsidR="00533BD3" w:rsidTr="00802D65">
              <w:trPr>
                <w:trHeight w:val="294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7</w:t>
                  </w:r>
                </w:p>
              </w:tc>
              <w:tc>
                <w:tcPr>
                  <w:tcW w:w="7950" w:type="dxa"/>
                </w:tcPr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Choroby miazgi zębów mlecznych: etiopatogeneza, symptomatologia, klasyfikacje, diagnostyka, leczenie i </w:t>
                  </w:r>
                </w:p>
                <w:p w:rsidR="00B56E2B" w:rsidRPr="00B56E2B" w:rsidRDefault="00990CDC" w:rsidP="00990CDC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Leki i materiały w leczeniu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endodontycznym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zębów mlecznych Powikłania w trakcie i po leczeniu , rokowanie.</w:t>
                  </w:r>
                </w:p>
              </w:tc>
            </w:tr>
            <w:tr w:rsidR="00533BD3" w:rsidTr="00802D65">
              <w:trPr>
                <w:trHeight w:val="256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8</w:t>
                  </w:r>
                </w:p>
              </w:tc>
              <w:tc>
                <w:tcPr>
                  <w:tcW w:w="7950" w:type="dxa"/>
                </w:tcPr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Choroby miazgi zębów stałych niedojrzałych: etiopatogeneza, symptomatologia, klasyfikacje, diagnostyka, leczenie i rokowanie</w:t>
                  </w:r>
                </w:p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99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Leki i materiały stosowane w leczeniu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endodontycznym</w:t>
                  </w:r>
                  <w:proofErr w:type="spellEnd"/>
                </w:p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995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Powikłania w trakcie i po leczeniu </w:t>
                  </w:r>
                </w:p>
                <w:p w:rsidR="00533BD3" w:rsidRPr="00533BD3" w:rsidRDefault="00990CDC" w:rsidP="00990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Apeksyfikacja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apeksogeneza</w:t>
                  </w:r>
                  <w:proofErr w:type="spellEnd"/>
                </w:p>
              </w:tc>
            </w:tr>
            <w:tr w:rsidR="00533BD3" w:rsidTr="00802D65">
              <w:trPr>
                <w:trHeight w:val="288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9</w:t>
                  </w:r>
                </w:p>
              </w:tc>
              <w:tc>
                <w:tcPr>
                  <w:tcW w:w="7950" w:type="dxa"/>
                </w:tcPr>
                <w:p w:rsidR="00533BD3" w:rsidRPr="00533BD3" w:rsidRDefault="00990CDC" w:rsidP="00990CD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test tematów 7 i 8</w:t>
                  </w:r>
                </w:p>
              </w:tc>
            </w:tr>
            <w:tr w:rsidR="00533BD3" w:rsidTr="00802D65">
              <w:trPr>
                <w:trHeight w:val="264"/>
              </w:trPr>
              <w:tc>
                <w:tcPr>
                  <w:tcW w:w="1277" w:type="dxa"/>
                </w:tcPr>
                <w:p w:rsidR="00533BD3" w:rsidRPr="00533BD3" w:rsidRDefault="00533BD3" w:rsidP="00990CD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33BD3">
                    <w:rPr>
                      <w:sz w:val="18"/>
                      <w:szCs w:val="18"/>
                    </w:rPr>
                    <w:t>Ćwiczenie 10</w:t>
                  </w:r>
                </w:p>
              </w:tc>
              <w:tc>
                <w:tcPr>
                  <w:tcW w:w="7950" w:type="dxa"/>
                </w:tcPr>
                <w:p w:rsidR="00533BD3" w:rsidRPr="00533BD3" w:rsidRDefault="00990CDC" w:rsidP="00990CDC">
                  <w:pPr>
                    <w:pStyle w:val="Nagwek"/>
                    <w:tabs>
                      <w:tab w:val="clear" w:pos="4536"/>
                      <w:tab w:val="clear" w:pos="907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Ćwiczenia zaliczeniowe (test zaliczeniowy)</w:t>
                  </w:r>
                </w:p>
              </w:tc>
            </w:tr>
          </w:tbl>
          <w:p w:rsidR="00533BD3" w:rsidRDefault="00533BD3" w:rsidP="00733129">
            <w:pPr>
              <w:spacing w:after="0" w:line="240" w:lineRule="auto"/>
              <w:rPr>
                <w:sz w:val="18"/>
                <w:szCs w:val="18"/>
              </w:rPr>
            </w:pPr>
          </w:p>
          <w:p w:rsidR="00733129" w:rsidRPr="00523D6F" w:rsidRDefault="00733129" w:rsidP="0073312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23D6F">
              <w:rPr>
                <w:b/>
                <w:sz w:val="24"/>
                <w:szCs w:val="24"/>
              </w:rPr>
              <w:t>Ćwiczenia- semestr letni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8077"/>
            </w:tblGrid>
            <w:tr w:rsidR="007B56F2" w:rsidTr="006A0BCB">
              <w:trPr>
                <w:trHeight w:val="140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077" w:type="dxa"/>
                </w:tcPr>
                <w:p w:rsidR="007B56F2" w:rsidRDefault="007B56F2" w:rsidP="007B56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TEMAT</w:t>
                  </w:r>
                </w:p>
              </w:tc>
            </w:tr>
            <w:tr w:rsidR="007B56F2" w:rsidTr="00990CDC">
              <w:trPr>
                <w:trHeight w:val="581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Ćwiczenie 1 </w:t>
                  </w:r>
                </w:p>
              </w:tc>
              <w:tc>
                <w:tcPr>
                  <w:tcW w:w="8077" w:type="dxa"/>
                </w:tcPr>
                <w:p w:rsidR="007B56F2" w:rsidRPr="00990CDC" w:rsidRDefault="00990CDC" w:rsidP="00990CDC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-Promocja zdrowia jamy ustnej-Edukacja prozdrowotna kobiet ciężarnych, dzieci i młodzieży w różnych grupach wiekowych.</w:t>
                  </w:r>
                </w:p>
              </w:tc>
            </w:tr>
            <w:tr w:rsidR="007B56F2" w:rsidTr="00990CDC">
              <w:trPr>
                <w:trHeight w:val="719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2</w:t>
                  </w:r>
                </w:p>
              </w:tc>
              <w:tc>
                <w:tcPr>
                  <w:tcW w:w="8077" w:type="dxa"/>
                </w:tcPr>
                <w:p w:rsidR="007B56F2" w:rsidRP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Profilaktyka próchnicy zębów u dzieci: (pierwotnie pierwotna, pierwotna, wtórna, trzeciorzędowa. Transmisja bakterii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próchnicotwórczych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, okna infekcyjności.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Kariogenność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 węglowodanów Higiena jamy ustnej u dzieci i młodzieży-pasty do zębów, płukanki, szczoteczki, środki pomocnicze</w:t>
                  </w:r>
                </w:p>
              </w:tc>
            </w:tr>
            <w:tr w:rsidR="007B56F2" w:rsidTr="006A0BCB">
              <w:trPr>
                <w:trHeight w:val="698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3</w:t>
                  </w:r>
                </w:p>
              </w:tc>
              <w:tc>
                <w:tcPr>
                  <w:tcW w:w="8077" w:type="dxa"/>
                </w:tcPr>
                <w:p w:rsidR="007B56F2" w:rsidRP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8820"/>
                    </w:tabs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Znaczenie fluoru w profilaktyce próchnicy: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kariostatyczne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mechanizmy działania fluoru, metody fluoryzacji, stosowane związki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fluoru.Toksykologia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fluoru: dawki toksyczne, fluoroza, bezpieczeństwo stosowania związków fluoru</w:t>
                  </w:r>
                </w:p>
              </w:tc>
            </w:tr>
            <w:tr w:rsidR="007B56F2" w:rsidTr="006A0BCB">
              <w:trPr>
                <w:trHeight w:val="457"/>
              </w:trPr>
              <w:tc>
                <w:tcPr>
                  <w:tcW w:w="1277" w:type="dxa"/>
                </w:tcPr>
                <w:p w:rsidR="007B56F2" w:rsidRDefault="007B56F2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4</w:t>
                  </w:r>
                </w:p>
              </w:tc>
              <w:tc>
                <w:tcPr>
                  <w:tcW w:w="8077" w:type="dxa"/>
                </w:tcPr>
                <w:p w:rsidR="007B56F2" w:rsidRDefault="00990CDC" w:rsidP="007B56F2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Niefluorkowe metody zapobiegania próchnicy zębów ( arginina,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probiotyki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fosfokrzemian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wapniowo – sodowy, kompleks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kazeinianu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fosfopeptydu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i amorficznego fosforanu wapnia,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ksylitol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chlorheksydyna</w:t>
                  </w:r>
                  <w:proofErr w:type="spellEnd"/>
                </w:p>
              </w:tc>
            </w:tr>
            <w:tr w:rsidR="00990CDC" w:rsidTr="00990CDC">
              <w:trPr>
                <w:trHeight w:val="389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5</w:t>
                  </w:r>
                </w:p>
              </w:tc>
              <w:tc>
                <w:tcPr>
                  <w:tcW w:w="8077" w:type="dxa"/>
                </w:tcPr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Zaliczenie tematu 1 i 3</w:t>
                  </w:r>
                </w:p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forma zaliczenia: test</w:t>
                  </w:r>
                </w:p>
              </w:tc>
            </w:tr>
            <w:tr w:rsidR="00990CDC" w:rsidTr="006A0BCB">
              <w:trPr>
                <w:trHeight w:val="527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6</w:t>
                  </w:r>
                </w:p>
              </w:tc>
              <w:tc>
                <w:tcPr>
                  <w:tcW w:w="8077" w:type="dxa"/>
                </w:tcPr>
                <w:p w:rsidR="00990CDC" w:rsidRDefault="00990CDC" w:rsidP="00990CDC">
                  <w:pPr>
                    <w:spacing w:after="0" w:line="240" w:lineRule="auto"/>
                  </w:pPr>
                  <w:r>
                    <w:rPr>
                      <w:bCs/>
                      <w:sz w:val="18"/>
                      <w:szCs w:val="18"/>
                    </w:rPr>
                    <w:t xml:space="preserve">Ocena  ryzyka próchnicy zębów, definicja, metody szacowania ( CAMBRA, CRA,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Cariogram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4A13D3">
                    <w:rPr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bCs/>
                      <w:sz w:val="18"/>
                      <w:szCs w:val="18"/>
                    </w:rPr>
                    <w:t>, wskaźniki higieny jamy ustnej, badanie parametrów śliny za pomocą testów.</w:t>
                  </w:r>
                </w:p>
              </w:tc>
            </w:tr>
            <w:tr w:rsidR="00990CDC" w:rsidTr="006A0BCB">
              <w:trPr>
                <w:trHeight w:val="691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7</w:t>
                  </w:r>
                </w:p>
              </w:tc>
              <w:tc>
                <w:tcPr>
                  <w:tcW w:w="8077" w:type="dxa"/>
                </w:tcPr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Radiologia stomatologiczna w stomatologii dziecięcej: wiadomości ogólne, rodzaje zdjęć </w:t>
                  </w: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rtg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stosowanych w diagnostyce i leczeniu dzieci, interpretacja radiologiczna zdjęć rentgenowskich w wieku rozwojowym </w:t>
                  </w:r>
                </w:p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Radiologia w wieku rozwojowym: rodzaje projekcji, obraz radiologiczny w różnych okresach rozwoju narządu żucia</w:t>
                  </w:r>
                </w:p>
                <w:p w:rsidR="00990CDC" w:rsidRDefault="00990CDC" w:rsidP="00990CD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Zasady ochrony radiologicznej w wieku rozwojowym</w:t>
                  </w:r>
                </w:p>
                <w:p w:rsidR="00990CDC" w:rsidRDefault="00990CDC" w:rsidP="007B56F2">
                  <w:pPr>
                    <w:spacing w:after="0" w:line="240" w:lineRule="auto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990CDC" w:rsidTr="006A0BCB">
              <w:trPr>
                <w:trHeight w:val="419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>Ćwiczenie 8</w:t>
                  </w:r>
                </w:p>
              </w:tc>
              <w:tc>
                <w:tcPr>
                  <w:tcW w:w="8077" w:type="dxa"/>
                </w:tcPr>
                <w:p w:rsidR="00990CDC" w:rsidRPr="006F1494" w:rsidRDefault="00990CDC" w:rsidP="006F149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Zaliczenie tematu 6 i 7</w:t>
                  </w:r>
                  <w:r w:rsidR="006F1494">
                    <w:rPr>
                      <w:b/>
                      <w:color w:val="000000"/>
                      <w:sz w:val="18"/>
                      <w:szCs w:val="18"/>
                    </w:rPr>
                    <w:t>f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orma zaliczenia: esej</w:t>
                  </w:r>
                </w:p>
              </w:tc>
            </w:tr>
            <w:tr w:rsidR="00990CDC" w:rsidTr="006A0BCB">
              <w:trPr>
                <w:trHeight w:val="406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9</w:t>
                  </w:r>
                </w:p>
              </w:tc>
              <w:tc>
                <w:tcPr>
                  <w:tcW w:w="8077" w:type="dxa"/>
                </w:tcPr>
                <w:p w:rsidR="00990CDC" w:rsidRPr="007B56F2" w:rsidRDefault="00990CDC" w:rsidP="007B56F2">
                  <w:pPr>
                    <w:spacing w:after="0" w:line="240" w:lineRule="auto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test zaliczeniowy z całości materiału</w:t>
                  </w:r>
                </w:p>
              </w:tc>
            </w:tr>
            <w:tr w:rsidR="00990CDC" w:rsidTr="006A0BCB">
              <w:trPr>
                <w:trHeight w:val="431"/>
              </w:trPr>
              <w:tc>
                <w:tcPr>
                  <w:tcW w:w="1277" w:type="dxa"/>
                </w:tcPr>
                <w:p w:rsidR="00990CDC" w:rsidRDefault="00990CDC" w:rsidP="007B56F2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Ćwiczenie 10</w:t>
                  </w:r>
                </w:p>
              </w:tc>
              <w:tc>
                <w:tcPr>
                  <w:tcW w:w="8077" w:type="dxa"/>
                </w:tcPr>
                <w:p w:rsidR="00990CDC" w:rsidRDefault="00990CDC" w:rsidP="006A0BCB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Ćwiczenia zaliczeniowe</w:t>
                  </w:r>
                </w:p>
              </w:tc>
            </w:tr>
          </w:tbl>
          <w:p w:rsidR="007B56F2" w:rsidRDefault="007B56F2" w:rsidP="00166F14">
            <w:pPr>
              <w:spacing w:after="0" w:line="240" w:lineRule="auto"/>
              <w:rPr>
                <w:sz w:val="18"/>
              </w:rPr>
            </w:pPr>
          </w:p>
          <w:p w:rsidR="007B56F2" w:rsidRPr="00166F14" w:rsidRDefault="007B56F2" w:rsidP="00166F14">
            <w:pPr>
              <w:spacing w:after="0" w:line="240" w:lineRule="auto"/>
              <w:rPr>
                <w:sz w:val="18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D27665" w:rsidRDefault="00BA2B32" w:rsidP="00D27665">
            <w:pPr>
              <w:spacing w:after="0" w:line="240" w:lineRule="auto"/>
              <w:ind w:left="501"/>
              <w:jc w:val="both"/>
              <w:rPr>
                <w:sz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7665">
              <w:rPr>
                <w:sz w:val="18"/>
              </w:rPr>
              <w:t xml:space="preserve"> </w:t>
            </w:r>
            <w:proofErr w:type="spellStart"/>
            <w:r w:rsidR="00D27665">
              <w:rPr>
                <w:sz w:val="18"/>
              </w:rPr>
              <w:t>Andreasen</w:t>
            </w:r>
            <w:proofErr w:type="spellEnd"/>
            <w:r w:rsidR="00D27665">
              <w:rPr>
                <w:sz w:val="18"/>
              </w:rPr>
              <w:t xml:space="preserve"> J.O., </w:t>
            </w:r>
            <w:proofErr w:type="spellStart"/>
            <w:r w:rsidR="00D27665">
              <w:rPr>
                <w:sz w:val="18"/>
              </w:rPr>
              <w:t>Bakland</w:t>
            </w:r>
            <w:proofErr w:type="spellEnd"/>
            <w:r w:rsidR="00D27665">
              <w:rPr>
                <w:sz w:val="18"/>
              </w:rPr>
              <w:t xml:space="preserve"> L.K., Flores M.T., Andersson L.:: Pourazowe uszkodzenia zębów. Wydanie II pod redakcją prof. dr hab. U. Kaczmarek. </w:t>
            </w:r>
            <w:proofErr w:type="spellStart"/>
            <w:r w:rsidR="00D27665">
              <w:rPr>
                <w:sz w:val="18"/>
              </w:rPr>
              <w:t>Elsevier</w:t>
            </w:r>
            <w:proofErr w:type="spellEnd"/>
            <w:r w:rsidR="00D27665">
              <w:rPr>
                <w:sz w:val="18"/>
              </w:rPr>
              <w:t xml:space="preserve"> Urban &amp; Partner, Wrocław 2012.</w:t>
            </w:r>
          </w:p>
          <w:p w:rsidR="00D27665" w:rsidRDefault="00D27665" w:rsidP="00D27665">
            <w:pPr>
              <w:spacing w:after="0" w:line="240" w:lineRule="auto"/>
              <w:ind w:left="5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 Cameron A.C., </w:t>
            </w:r>
            <w:proofErr w:type="spellStart"/>
            <w:r>
              <w:rPr>
                <w:sz w:val="18"/>
              </w:rPr>
              <w:t>Widmer</w:t>
            </w:r>
            <w:proofErr w:type="spellEnd"/>
            <w:r>
              <w:rPr>
                <w:sz w:val="18"/>
              </w:rPr>
              <w:t xml:space="preserve"> R.P. Stomatologia dziecięca. Wydanie II pod redakcją prof. dr hab. U. Kaczmarek. </w:t>
            </w:r>
            <w:proofErr w:type="spellStart"/>
            <w:r>
              <w:rPr>
                <w:sz w:val="18"/>
              </w:rPr>
              <w:t>Elsevier</w:t>
            </w:r>
            <w:proofErr w:type="spellEnd"/>
            <w:r>
              <w:rPr>
                <w:sz w:val="18"/>
              </w:rPr>
              <w:t xml:space="preserve"> Urban &amp; Partner, Wrocław 2012.</w:t>
            </w:r>
          </w:p>
          <w:p w:rsidR="00BA2B32" w:rsidRDefault="00D27665" w:rsidP="00D27665">
            <w:pPr>
              <w:spacing w:after="0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        3. </w:t>
            </w:r>
            <w:proofErr w:type="spellStart"/>
            <w:r>
              <w:rPr>
                <w:sz w:val="18"/>
              </w:rPr>
              <w:t>Postek</w:t>
            </w:r>
            <w:proofErr w:type="spellEnd"/>
            <w:r>
              <w:rPr>
                <w:sz w:val="18"/>
              </w:rPr>
              <w:t xml:space="preserve">-Stefańska L. </w:t>
            </w:r>
            <w:proofErr w:type="spellStart"/>
            <w:r>
              <w:rPr>
                <w:sz w:val="18"/>
              </w:rPr>
              <w:t>Endodoncja</w:t>
            </w:r>
            <w:proofErr w:type="spellEnd"/>
            <w:r>
              <w:rPr>
                <w:sz w:val="18"/>
              </w:rPr>
              <w:t xml:space="preserve"> wieku rozwojowego i dojrzałego autorstwa Marii Barańskiej-Gachowskiej. Wydawnictwo </w:t>
            </w:r>
            <w:proofErr w:type="spellStart"/>
            <w:r>
              <w:rPr>
                <w:sz w:val="18"/>
              </w:rPr>
              <w:t>Czelej</w:t>
            </w:r>
            <w:proofErr w:type="spellEnd"/>
            <w:r>
              <w:rPr>
                <w:sz w:val="18"/>
              </w:rPr>
              <w:t>, Lublin 2011</w:t>
            </w:r>
          </w:p>
          <w:p w:rsidR="00B56E2B" w:rsidRPr="00B56E2B" w:rsidRDefault="00B56E2B" w:rsidP="00B56E2B">
            <w:pPr>
              <w:spacing w:after="0" w:line="240" w:lineRule="auto"/>
              <w:ind w:left="720"/>
              <w:jc w:val="both"/>
              <w:rPr>
                <w:sz w:val="18"/>
              </w:rPr>
            </w:pPr>
            <w:r>
              <w:rPr>
                <w:sz w:val="18"/>
              </w:rPr>
              <w:t>4. Olczyk-Kowalczak D., Szczepańska J., Kaczmarek U.: Stomatologia wieku rozwojowego. Wyd. Tour Med. Press 2017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D27665" w:rsidRDefault="00BA2B32" w:rsidP="00D27665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 w:hanging="284"/>
              <w:jc w:val="both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7665" w:rsidRPr="005633BD">
              <w:rPr>
                <w:sz w:val="18"/>
                <w:szCs w:val="18"/>
              </w:rPr>
              <w:t xml:space="preserve"> Knychalska-Karwan Z.: Stomatologia zachowawcza wieku dziecięcego. Wydawnictwo Collegium </w:t>
            </w:r>
            <w:proofErr w:type="spellStart"/>
            <w:r w:rsidR="00D27665" w:rsidRPr="005633BD">
              <w:rPr>
                <w:sz w:val="18"/>
                <w:szCs w:val="18"/>
              </w:rPr>
              <w:t>Medicum</w:t>
            </w:r>
            <w:proofErr w:type="spellEnd"/>
            <w:r w:rsidR="00D27665" w:rsidRPr="005633BD">
              <w:rPr>
                <w:sz w:val="18"/>
                <w:szCs w:val="18"/>
              </w:rPr>
              <w:t xml:space="preserve"> UJ, Kraków 2008.   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 w:rsidRPr="007F42B6">
              <w:rPr>
                <w:sz w:val="18"/>
                <w:szCs w:val="18"/>
              </w:rPr>
              <w:t>Szpringer</w:t>
            </w:r>
            <w:proofErr w:type="spellEnd"/>
            <w:r w:rsidRPr="007F42B6">
              <w:rPr>
                <w:sz w:val="18"/>
                <w:szCs w:val="18"/>
              </w:rPr>
              <w:t xml:space="preserve">- </w:t>
            </w:r>
            <w:proofErr w:type="spellStart"/>
            <w:r w:rsidRPr="007F42B6">
              <w:rPr>
                <w:sz w:val="18"/>
                <w:szCs w:val="18"/>
              </w:rPr>
              <w:t>Nodzak</w:t>
            </w:r>
            <w:proofErr w:type="spellEnd"/>
            <w:r w:rsidRPr="007F42B6">
              <w:rPr>
                <w:sz w:val="18"/>
                <w:szCs w:val="18"/>
              </w:rPr>
              <w:t xml:space="preserve"> M., Wochna-Sobańska M.: Stomatologia wieku rozwojowego. </w:t>
            </w:r>
            <w:r>
              <w:rPr>
                <w:sz w:val="18"/>
                <w:szCs w:val="18"/>
              </w:rPr>
              <w:t>Wydanie V. PZWL, Warszawa 2015</w:t>
            </w:r>
            <w:r w:rsidRPr="007F42B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>Projektor multimedialny, kamera, komputer, sieć komputerowa lokalna, modele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D27665" w:rsidP="002A605A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</w:t>
            </w:r>
            <w:r>
              <w:rPr>
                <w:sz w:val="20"/>
                <w:szCs w:val="20"/>
              </w:rPr>
              <w:t xml:space="preserve"> pozytywnym</w:t>
            </w:r>
            <w:r w:rsidRPr="008577E7">
              <w:rPr>
                <w:sz w:val="20"/>
                <w:szCs w:val="20"/>
              </w:rPr>
              <w:t xml:space="preserve"> zaliczeniu</w:t>
            </w:r>
            <w:r w:rsidR="002A605A">
              <w:rPr>
                <w:sz w:val="20"/>
                <w:szCs w:val="20"/>
              </w:rPr>
              <w:t xml:space="preserve"> roku III ze stomatologii zachowawczej</w:t>
            </w:r>
          </w:p>
        </w:tc>
      </w:tr>
      <w:tr w:rsidR="00BA2B32" w:rsidRPr="00B61163" w:rsidTr="00CE2E99">
        <w:trPr>
          <w:gridAfter w:val="1"/>
          <w:wAfter w:w="171" w:type="dxa"/>
          <w:trHeight w:val="8046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lastRenderedPageBreak/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D27665" w:rsidRPr="003439D2" w:rsidRDefault="00D27665" w:rsidP="00D27665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3439D2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prowadzącego). Nieobecność na seminarium- zaliczenie materiału w terminie 2 tyg.</w:t>
            </w:r>
          </w:p>
          <w:p w:rsidR="00D27665" w:rsidRPr="00234ECD" w:rsidRDefault="00D27665" w:rsidP="00D27665">
            <w:pPr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jc w:val="both"/>
              <w:rPr>
                <w:sz w:val="18"/>
                <w:szCs w:val="18"/>
              </w:rPr>
            </w:pPr>
            <w:r w:rsidRPr="003439D2">
              <w:rPr>
                <w:sz w:val="20"/>
                <w:szCs w:val="20"/>
              </w:rPr>
              <w:t>Zaliczenie wiedzy teoretycznej na ocenę pozytywną u prowadzącego asystenta</w:t>
            </w:r>
            <w:r>
              <w:rPr>
                <w:sz w:val="18"/>
                <w:szCs w:val="18"/>
              </w:rPr>
              <w:t xml:space="preserve"> (test zaliczeniowy, sprawdziany cząstkowe, obowiązkowe zabiegi praktyczne).</w:t>
            </w:r>
          </w:p>
          <w:p w:rsidR="00D27665" w:rsidRPr="003439D2" w:rsidRDefault="00D27665" w:rsidP="00D27665">
            <w:pPr>
              <w:pStyle w:val="Akapitzlist"/>
              <w:numPr>
                <w:ilvl w:val="0"/>
                <w:numId w:val="3"/>
              </w:numPr>
              <w:tabs>
                <w:tab w:val="clear" w:pos="0"/>
                <w:tab w:val="num" w:pos="220"/>
              </w:tabs>
              <w:spacing w:after="0" w:line="240" w:lineRule="auto"/>
              <w:ind w:left="606" w:hanging="357"/>
              <w:rPr>
                <w:rFonts w:cs="Times New Roman"/>
                <w:sz w:val="20"/>
                <w:szCs w:val="20"/>
              </w:rPr>
            </w:pPr>
            <w:r w:rsidRPr="003439D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733129" w:rsidRDefault="00733129" w:rsidP="0073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Obowiązkowe wykonanie  zabiegów: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 -  wypełnienie 15 ubytków w zębach mlecznych i stałych niedojrzałych, w tym: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1-powierzchniowych -8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2-powierzchniowych -4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 i więcej powierzchniowych – 3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II -  leczenie </w:t>
            </w:r>
            <w:proofErr w:type="spellStart"/>
            <w:r>
              <w:rPr>
                <w:sz w:val="18"/>
              </w:rPr>
              <w:t>endodontyczne</w:t>
            </w:r>
            <w:proofErr w:type="spellEnd"/>
            <w:r>
              <w:rPr>
                <w:sz w:val="18"/>
              </w:rPr>
              <w:t xml:space="preserve"> 3 zębów (4 kanały) mlecznych i stałych niedojrzałych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III -  wypełnienie karty każdego nowego pacjenta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IV -  interpretacja przynajmniej 2 radiogramów </w:t>
            </w:r>
          </w:p>
          <w:p w:rsidR="00733129" w:rsidRDefault="00733129" w:rsidP="007331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 - instruktaż higieniczno-dietetyczny dla każdego pierwszorazowego pacjenta</w:t>
            </w:r>
          </w:p>
          <w:p w:rsidR="00733129" w:rsidRDefault="00733129" w:rsidP="007331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VI - kontrola zaleceń zapobiegawczych</w:t>
            </w:r>
          </w:p>
          <w:p w:rsidR="00733129" w:rsidRDefault="00733129" w:rsidP="007331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733129" w:rsidRDefault="00733129" w:rsidP="0073312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6.Egzamin końcowy: </w:t>
            </w:r>
            <w:r>
              <w:rPr>
                <w:sz w:val="18"/>
                <w:szCs w:val="18"/>
              </w:rPr>
              <w:t>po semestrze X</w:t>
            </w:r>
          </w:p>
          <w:p w:rsidR="0070216F" w:rsidRDefault="00D27665" w:rsidP="00BA2B32">
            <w:pPr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Egzamin dyplomowy po semestrze 9 na V</w:t>
            </w:r>
            <w:r w:rsidRPr="005B4C40">
              <w:rPr>
                <w:b/>
                <w:sz w:val="20"/>
                <w:szCs w:val="20"/>
              </w:rPr>
              <w:t xml:space="preserve"> roku- praktyczny egzamin kliniczny oraz testowy i pisemny (esej)</w:t>
            </w:r>
          </w:p>
          <w:p w:rsidR="00CE2E99" w:rsidRDefault="00CE2E99" w:rsidP="00BA2B32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4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0"/>
              <w:gridCol w:w="1680"/>
              <w:gridCol w:w="1680"/>
              <w:gridCol w:w="1681"/>
              <w:gridCol w:w="1681"/>
            </w:tblGrid>
            <w:tr w:rsidR="00CE2E99" w:rsidRPr="00CE2E99" w:rsidTr="00CE2E99">
              <w:trPr>
                <w:trHeight w:val="720"/>
              </w:trPr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b/>
                      <w:bCs/>
                      <w:color w:val="000000"/>
                      <w:sz w:val="18"/>
                      <w:szCs w:val="18"/>
                    </w:rPr>
                    <w:t>Stomatologia dziecięca</w:t>
                  </w:r>
                </w:p>
              </w:tc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Średnia ocen z ćwiczeń na IV,V roku</w:t>
                  </w:r>
                </w:p>
              </w:tc>
              <w:tc>
                <w:tcPr>
                  <w:tcW w:w="1680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Egzamin praktyczny</w:t>
                  </w:r>
                </w:p>
              </w:tc>
              <w:tc>
                <w:tcPr>
                  <w:tcW w:w="1681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 xml:space="preserve">Test </w:t>
                  </w:r>
                </w:p>
              </w:tc>
              <w:tc>
                <w:tcPr>
                  <w:tcW w:w="1681" w:type="dxa"/>
                  <w:shd w:val="clear" w:color="auto" w:fill="C0C0C0"/>
                </w:tcPr>
                <w:p w:rsidR="00CE2E99" w:rsidRPr="00CE2E99" w:rsidRDefault="00CE2E99" w:rsidP="00CE2E99">
                  <w:p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Esej</w:t>
                  </w:r>
                </w:p>
              </w:tc>
            </w:tr>
            <w:tr w:rsidR="00CE2E99" w:rsidRPr="00CE2E99" w:rsidTr="00CE2E99">
              <w:trPr>
                <w:trHeight w:val="473"/>
              </w:trPr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1680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0.1</w:t>
                  </w:r>
                </w:p>
              </w:tc>
              <w:tc>
                <w:tcPr>
                  <w:tcW w:w="1681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  <w:tc>
                <w:tcPr>
                  <w:tcW w:w="1681" w:type="dxa"/>
                </w:tcPr>
                <w:p w:rsidR="00CE2E99" w:rsidRPr="00CE2E99" w:rsidRDefault="00CE2E99" w:rsidP="004F3B1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E2E99">
                    <w:rPr>
                      <w:color w:val="000000"/>
                      <w:sz w:val="18"/>
                      <w:szCs w:val="18"/>
                    </w:rPr>
                    <w:t>0.3</w:t>
                  </w:r>
                </w:p>
              </w:tc>
            </w:tr>
          </w:tbl>
          <w:p w:rsidR="00CE2E99" w:rsidRPr="00D27665" w:rsidRDefault="00CE2E99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</w:tc>
      </w:tr>
      <w:tr w:rsidR="00425A06" w:rsidRPr="00276387" w:rsidTr="00166F14">
        <w:trPr>
          <w:trHeight w:val="22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D27665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D27665" w:rsidRPr="00276387" w:rsidTr="00D27665">
        <w:trPr>
          <w:trHeight w:val="309"/>
        </w:trPr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6A0BCB" w:rsidRDefault="006A0BC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B56E2B" w:rsidRDefault="00B56E2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lastRenderedPageBreak/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D27665" w:rsidRPr="0058460D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6A0BCB" w:rsidRDefault="006A0BCB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6A0BCB" w:rsidRDefault="006A0BCB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</w:p>
          <w:p w:rsidR="00D27665" w:rsidRPr="008859E2" w:rsidRDefault="00D27665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6A0BCB" w:rsidRPr="0058460D" w:rsidRDefault="006A0BCB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  <w:p w:rsidR="006A0BCB" w:rsidRDefault="006A0BCB" w:rsidP="00166F1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56E2B" w:rsidRDefault="00D27665" w:rsidP="00166F1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</w:p>
          <w:p w:rsidR="009B0F65" w:rsidRPr="002A605A" w:rsidRDefault="009B0F65" w:rsidP="00166F14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2A605A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2A605A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2A605A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B56E2B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– wykłady, </w:t>
            </w:r>
            <w:proofErr w:type="spellStart"/>
            <w:r>
              <w:rPr>
                <w:sz w:val="18"/>
                <w:szCs w:val="18"/>
              </w:rPr>
              <w:t>seminari</w:t>
            </w:r>
            <w:r w:rsidR="00B56E2B">
              <w:rPr>
                <w:sz w:val="18"/>
                <w:szCs w:val="18"/>
              </w:rPr>
              <w:t>ia</w:t>
            </w:r>
            <w:proofErr w:type="spellEnd"/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Prof. Dr hab. T. Konopka,</w:t>
            </w:r>
          </w:p>
          <w:p w:rsidR="00CF4D16" w:rsidRPr="00166F14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 xml:space="preserve">Marta </w:t>
            </w:r>
            <w:proofErr w:type="spellStart"/>
            <w:r w:rsidR="00B56E2B">
              <w:rPr>
                <w:sz w:val="18"/>
                <w:szCs w:val="18"/>
              </w:rPr>
              <w:t>Zietek</w:t>
            </w:r>
            <w:proofErr w:type="spellEnd"/>
            <w:r w:rsidR="00B56E2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seminaria</w:t>
            </w:r>
          </w:p>
          <w:p w:rsidR="00CF4D16" w:rsidRPr="000070EB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 w:rsidR="00B56E2B">
              <w:rPr>
                <w:sz w:val="18"/>
                <w:szCs w:val="18"/>
              </w:rPr>
              <w:t>Iwona Grzesiak-Gasek</w:t>
            </w:r>
            <w:r>
              <w:rPr>
                <w:sz w:val="18"/>
                <w:szCs w:val="18"/>
              </w:rPr>
              <w:t>- ćwiczenia, seminaria</w:t>
            </w:r>
          </w:p>
          <w:p w:rsidR="00CF4D16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Monika Dębska</w:t>
            </w:r>
            <w:r>
              <w:rPr>
                <w:sz w:val="18"/>
                <w:szCs w:val="18"/>
              </w:rPr>
              <w:t>- ćwiczenia, seminaria</w:t>
            </w:r>
          </w:p>
          <w:p w:rsidR="00CF4D16" w:rsidRDefault="00CF4D16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 xml:space="preserve">Alina </w:t>
            </w:r>
            <w:proofErr w:type="spellStart"/>
            <w:r w:rsidR="00B56E2B">
              <w:rPr>
                <w:sz w:val="18"/>
                <w:szCs w:val="18"/>
              </w:rPr>
              <w:t>Wrzyszcz</w:t>
            </w:r>
            <w:proofErr w:type="spellEnd"/>
            <w:r w:rsidR="00B56E2B">
              <w:rPr>
                <w:sz w:val="18"/>
                <w:szCs w:val="18"/>
              </w:rPr>
              <w:t>-Kowalczyk</w:t>
            </w:r>
            <w:r>
              <w:rPr>
                <w:sz w:val="18"/>
                <w:szCs w:val="18"/>
              </w:rPr>
              <w:t xml:space="preserve"> </w:t>
            </w:r>
            <w:r w:rsidR="00B56E2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Fita-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Herman -ćwiczenia, seminaria</w:t>
            </w:r>
          </w:p>
          <w:p w:rsidR="00166F14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Kaja Orłowska-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</w:t>
            </w:r>
            <w:proofErr w:type="spellStart"/>
            <w:r>
              <w:rPr>
                <w:sz w:val="18"/>
                <w:szCs w:val="18"/>
              </w:rPr>
              <w:t>stom</w:t>
            </w:r>
            <w:proofErr w:type="spellEnd"/>
            <w:r>
              <w:rPr>
                <w:sz w:val="18"/>
                <w:szCs w:val="18"/>
              </w:rPr>
              <w:t>. Barbara Krzywiecka-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 Marta Berdzik-Janecka-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dent. Natalia </w:t>
            </w:r>
            <w:proofErr w:type="spellStart"/>
            <w:r>
              <w:rPr>
                <w:sz w:val="18"/>
                <w:szCs w:val="18"/>
              </w:rPr>
              <w:t>Łuc</w:t>
            </w:r>
            <w:proofErr w:type="spellEnd"/>
            <w:r>
              <w:rPr>
                <w:sz w:val="18"/>
                <w:szCs w:val="18"/>
              </w:rPr>
              <w:t>- ćwiczenia, seminaria</w:t>
            </w: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B56E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25A06" w:rsidRDefault="00425A0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56E2B" w:rsidRDefault="00B56E2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A0BCB" w:rsidRDefault="006A0BCB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66F14" w:rsidRPr="00CF4D16" w:rsidRDefault="00166F14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EA1895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CF4D16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2A605A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CF4D1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 w:rsidR="002A605A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med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E7" w:rsidRDefault="00D76FE7" w:rsidP="00420C0C">
      <w:pPr>
        <w:spacing w:after="0" w:line="240" w:lineRule="auto"/>
      </w:pPr>
      <w:r>
        <w:separator/>
      </w:r>
    </w:p>
  </w:endnote>
  <w:endnote w:type="continuationSeparator" w:id="0">
    <w:p w:rsidR="00D76FE7" w:rsidRDefault="00D76FE7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Default="00990C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Default="00990C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Pr="00941060" w:rsidRDefault="00990CDC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282470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282470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282470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282470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282470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282470" w:rsidRPr="00941060">
      <w:rPr>
        <w:color w:val="5B9BD5"/>
      </w:rPr>
      <w:fldChar w:fldCharType="end"/>
    </w:r>
  </w:p>
  <w:p w:rsidR="00990CDC" w:rsidRDefault="00990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E7" w:rsidRDefault="00D76FE7" w:rsidP="00420C0C">
      <w:pPr>
        <w:spacing w:after="0" w:line="240" w:lineRule="auto"/>
      </w:pPr>
      <w:r>
        <w:separator/>
      </w:r>
    </w:p>
  </w:footnote>
  <w:footnote w:type="continuationSeparator" w:id="0">
    <w:p w:rsidR="00D76FE7" w:rsidRDefault="00D76FE7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Default="00990C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Default="00990CDC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990CDC" w:rsidRDefault="00990CDC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1630</w:t>
    </w:r>
  </w:p>
  <w:p w:rsidR="00990CDC" w:rsidRDefault="00990CDC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30 marca 2016 r.</w:t>
    </w:r>
  </w:p>
  <w:p w:rsidR="00990CDC" w:rsidRPr="009A7B98" w:rsidRDefault="00990CDC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CDC" w:rsidRDefault="00990CDC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5 </w:t>
    </w:r>
    <w:r>
      <w:rPr>
        <w:sz w:val="16"/>
      </w:rPr>
      <w:br/>
      <w:t xml:space="preserve">    do Uchwały Senatu Uniwersytetu Medycznego</w:t>
    </w:r>
  </w:p>
  <w:p w:rsidR="00990CDC" w:rsidRDefault="00990CDC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……………………………………………</w:t>
    </w:r>
  </w:p>
  <w:p w:rsidR="00990CDC" w:rsidRDefault="00990CDC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990CDC" w:rsidRPr="009A7B98" w:rsidRDefault="00990CDC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1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5605"/>
    <w:rsid w:val="000334F7"/>
    <w:rsid w:val="000D366C"/>
    <w:rsid w:val="000D4F73"/>
    <w:rsid w:val="000E4F38"/>
    <w:rsid w:val="00124B37"/>
    <w:rsid w:val="001338D8"/>
    <w:rsid w:val="00133964"/>
    <w:rsid w:val="001339F0"/>
    <w:rsid w:val="00166F14"/>
    <w:rsid w:val="001964D5"/>
    <w:rsid w:val="001B141E"/>
    <w:rsid w:val="001F2073"/>
    <w:rsid w:val="00207FB8"/>
    <w:rsid w:val="00221BC5"/>
    <w:rsid w:val="00224C44"/>
    <w:rsid w:val="002273F7"/>
    <w:rsid w:val="00240614"/>
    <w:rsid w:val="00257D49"/>
    <w:rsid w:val="00261E41"/>
    <w:rsid w:val="00276387"/>
    <w:rsid w:val="002813DF"/>
    <w:rsid w:val="00282470"/>
    <w:rsid w:val="00291ACC"/>
    <w:rsid w:val="002A2720"/>
    <w:rsid w:val="002A605A"/>
    <w:rsid w:val="002B74A3"/>
    <w:rsid w:val="002B75D3"/>
    <w:rsid w:val="002D3307"/>
    <w:rsid w:val="002E2A69"/>
    <w:rsid w:val="003166AD"/>
    <w:rsid w:val="0035703D"/>
    <w:rsid w:val="00376C1C"/>
    <w:rsid w:val="00383861"/>
    <w:rsid w:val="003C5D50"/>
    <w:rsid w:val="003D495E"/>
    <w:rsid w:val="003F12E0"/>
    <w:rsid w:val="00420C0C"/>
    <w:rsid w:val="00425A06"/>
    <w:rsid w:val="004430C2"/>
    <w:rsid w:val="004465CC"/>
    <w:rsid w:val="00477DCB"/>
    <w:rsid w:val="004F0142"/>
    <w:rsid w:val="004F272A"/>
    <w:rsid w:val="004F3B1A"/>
    <w:rsid w:val="00523D6F"/>
    <w:rsid w:val="00533BD3"/>
    <w:rsid w:val="00577C32"/>
    <w:rsid w:val="0059224E"/>
    <w:rsid w:val="005C013D"/>
    <w:rsid w:val="005D6DDE"/>
    <w:rsid w:val="00626D5E"/>
    <w:rsid w:val="00640A5C"/>
    <w:rsid w:val="00670EB0"/>
    <w:rsid w:val="00680EB7"/>
    <w:rsid w:val="006A0BCB"/>
    <w:rsid w:val="006A3C86"/>
    <w:rsid w:val="006B094C"/>
    <w:rsid w:val="006D1223"/>
    <w:rsid w:val="006E168B"/>
    <w:rsid w:val="006E18E2"/>
    <w:rsid w:val="006E1C08"/>
    <w:rsid w:val="006F1494"/>
    <w:rsid w:val="0070216F"/>
    <w:rsid w:val="00703C51"/>
    <w:rsid w:val="0070762A"/>
    <w:rsid w:val="00707BA5"/>
    <w:rsid w:val="00710C9A"/>
    <w:rsid w:val="00721D97"/>
    <w:rsid w:val="00726E37"/>
    <w:rsid w:val="00727C06"/>
    <w:rsid w:val="00733129"/>
    <w:rsid w:val="007A1EE5"/>
    <w:rsid w:val="007B56F2"/>
    <w:rsid w:val="007B5FF3"/>
    <w:rsid w:val="007C55C2"/>
    <w:rsid w:val="007D1510"/>
    <w:rsid w:val="00802D65"/>
    <w:rsid w:val="00830FAB"/>
    <w:rsid w:val="00857D66"/>
    <w:rsid w:val="008715BD"/>
    <w:rsid w:val="008859E2"/>
    <w:rsid w:val="008B2688"/>
    <w:rsid w:val="00906129"/>
    <w:rsid w:val="00924C9B"/>
    <w:rsid w:val="00941060"/>
    <w:rsid w:val="00946913"/>
    <w:rsid w:val="00953CEB"/>
    <w:rsid w:val="00960708"/>
    <w:rsid w:val="00990CDC"/>
    <w:rsid w:val="009A7B98"/>
    <w:rsid w:val="009B0F65"/>
    <w:rsid w:val="009D7BCA"/>
    <w:rsid w:val="009E74B2"/>
    <w:rsid w:val="00A260E3"/>
    <w:rsid w:val="00A30199"/>
    <w:rsid w:val="00A30398"/>
    <w:rsid w:val="00A30CFC"/>
    <w:rsid w:val="00A57F9A"/>
    <w:rsid w:val="00A64054"/>
    <w:rsid w:val="00AB689E"/>
    <w:rsid w:val="00AB6CE5"/>
    <w:rsid w:val="00AD5870"/>
    <w:rsid w:val="00AD664C"/>
    <w:rsid w:val="00B529DB"/>
    <w:rsid w:val="00B52E51"/>
    <w:rsid w:val="00B56E2B"/>
    <w:rsid w:val="00B6026F"/>
    <w:rsid w:val="00B61163"/>
    <w:rsid w:val="00BA2B32"/>
    <w:rsid w:val="00BC502E"/>
    <w:rsid w:val="00BD1099"/>
    <w:rsid w:val="00BD1F78"/>
    <w:rsid w:val="00C002E4"/>
    <w:rsid w:val="00C12051"/>
    <w:rsid w:val="00C417D7"/>
    <w:rsid w:val="00C45D6A"/>
    <w:rsid w:val="00C72E16"/>
    <w:rsid w:val="00C9016F"/>
    <w:rsid w:val="00CA02A8"/>
    <w:rsid w:val="00CA0893"/>
    <w:rsid w:val="00CD7636"/>
    <w:rsid w:val="00CE2E99"/>
    <w:rsid w:val="00CF4D16"/>
    <w:rsid w:val="00D151D6"/>
    <w:rsid w:val="00D27665"/>
    <w:rsid w:val="00D354A4"/>
    <w:rsid w:val="00D44B2F"/>
    <w:rsid w:val="00D63982"/>
    <w:rsid w:val="00D76FE7"/>
    <w:rsid w:val="00DE4CD2"/>
    <w:rsid w:val="00E303C6"/>
    <w:rsid w:val="00E94A75"/>
    <w:rsid w:val="00EA1895"/>
    <w:rsid w:val="00EA5F3E"/>
    <w:rsid w:val="00EB1CA3"/>
    <w:rsid w:val="00EB2B31"/>
    <w:rsid w:val="00ED0A01"/>
    <w:rsid w:val="00EE36E2"/>
    <w:rsid w:val="00EF0D47"/>
    <w:rsid w:val="00EF6E67"/>
    <w:rsid w:val="00F010B5"/>
    <w:rsid w:val="00F269C5"/>
    <w:rsid w:val="00F47E5A"/>
    <w:rsid w:val="00F60A1E"/>
    <w:rsid w:val="00F60FD4"/>
    <w:rsid w:val="00F76120"/>
    <w:rsid w:val="00F813C8"/>
    <w:rsid w:val="00F832B8"/>
    <w:rsid w:val="00F85CFA"/>
    <w:rsid w:val="00F87500"/>
    <w:rsid w:val="00FF1E03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DB3FC9-9FCB-4C13-8E4C-282861A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733129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33B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D2766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D2766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733129"/>
    <w:rPr>
      <w:rFonts w:ascii="Times New Roman" w:eastAsia="Times New Roman" w:hAnsi="Times New Roman"/>
      <w:b/>
      <w:bCs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33129"/>
    <w:pPr>
      <w:spacing w:after="0" w:line="240" w:lineRule="auto"/>
    </w:pPr>
    <w:rPr>
      <w:rFonts w:ascii="Times New Roman" w:eastAsia="Times New Roman" w:hAnsi="Times New Roman"/>
      <w:sz w:val="20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3129"/>
    <w:rPr>
      <w:rFonts w:ascii="Times New Roman" w:eastAsia="Times New Roman" w:hAnsi="Times New Roman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66F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6F14"/>
    <w:rPr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33B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2973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2019-06-28T12:02:00Z</dcterms:created>
  <dcterms:modified xsi:type="dcterms:W3CDTF">2019-06-28T12:02:00Z</dcterms:modified>
</cp:coreProperties>
</file>