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D0E50">
              <w:rPr>
                <w:b/>
                <w:bCs/>
                <w:sz w:val="24"/>
                <w:szCs w:val="24"/>
              </w:rPr>
              <w:t>Stomatologia zachowawcza z endodoncją</w:t>
            </w:r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A548B3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1F04D6" w:rsidRPr="001F04D6" w:rsidRDefault="001F04D6" w:rsidP="001F04D6">
            <w:pPr>
              <w:rPr>
                <w:sz w:val="18"/>
                <w:szCs w:val="18"/>
                <w:lang w:eastAsia="pl-PL"/>
              </w:rPr>
            </w:pPr>
            <w:r w:rsidRPr="001F04D6">
              <w:rPr>
                <w:b/>
                <w:sz w:val="18"/>
                <w:szCs w:val="18"/>
              </w:rPr>
              <w:t>Nauki kliniczne, kierunkowe(zabiegowe)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 zachowawcza z endodoncją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stacjonarne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 niestacjonarne  </w:t>
            </w:r>
            <w:r w:rsidRPr="00BD0E50">
              <w:rPr>
                <w:b/>
                <w:sz w:val="24"/>
                <w:szCs w:val="24"/>
              </w:rPr>
              <w:t>X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 </w:t>
            </w:r>
            <w:r w:rsidR="001F04D6" w:rsidRPr="00BD0E50">
              <w:rPr>
                <w:b/>
                <w:sz w:val="24"/>
                <w:szCs w:val="24"/>
              </w:rPr>
              <w:t>X</w:t>
            </w:r>
            <w:r w:rsidR="001F04D6" w:rsidRPr="00B61163"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4201C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1F04D6" w:rsidRDefault="001F04D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1F04D6">
              <w:rPr>
                <w:rFonts w:ascii="Calibri Light" w:hAnsi="Calibri Light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1F04D6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140</w:t>
            </w: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130C17" w:rsidRPr="004D1596" w:rsidRDefault="00EF0D47" w:rsidP="00130C17">
            <w:pPr>
              <w:spacing w:after="0"/>
              <w:rPr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130C17" w:rsidRPr="004D1596">
              <w:rPr>
                <w:bCs/>
              </w:rPr>
              <w:t xml:space="preserve">C1. Zapoznanie studentów z podstawową i specjalistyczną wiedzą z zakresu diagnostyki i leczenia chorób jamy ustnej u pacjentów dorosłych.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C2.Przygotowanie studenta do samodzielnej oceny ryzyka próchnicy, ustalenia planu leczenia i zaleceń dla pacjenta.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C3.Przygotowanie studenta do leczenia odtwórczego ubytków twardych tkanek zębów próchnicowego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 i niepróchnicowego pochodzenia oraz leczenia endodontycznego.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C4. Zapoznanie studentów z implikacjami postępowania stomatologicznego u pacjenta obciążonego chorobą systemową. </w:t>
            </w:r>
          </w:p>
          <w:p w:rsidR="00BA2B32" w:rsidRPr="00130C17" w:rsidRDefault="00130C17" w:rsidP="00130C17">
            <w:pPr>
              <w:spacing w:after="0" w:line="240" w:lineRule="auto"/>
              <w:rPr>
                <w:rFonts w:ascii="Calibri Light" w:hAnsi="Calibri Light"/>
              </w:rPr>
            </w:pPr>
            <w:r w:rsidRPr="004D1596">
              <w:rPr>
                <w:bCs/>
              </w:rPr>
              <w:t xml:space="preserve">C5. </w:t>
            </w:r>
            <w:r w:rsidRPr="004D1596">
              <w:rPr>
                <w:bCs/>
                <w:color w:val="000000"/>
              </w:rPr>
              <w:t>Zapoznanie studenta z problematyką promocji zdrowia, p</w:t>
            </w:r>
            <w:r w:rsidRPr="004D1596">
              <w:t>rojektowaniem i realizowaniem programów profilaktycznych.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44201C">
              <w:rPr>
                <w:rFonts w:ascii="Calibri Light" w:hAnsi="Calibri Light"/>
                <w:sz w:val="18"/>
                <w:szCs w:val="18"/>
              </w:rPr>
              <w:t xml:space="preserve"> ( do 7 max)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F.W.3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</w:pPr>
            <w:r w:rsidRPr="00AA2420">
              <w:t xml:space="preserve">Zna zasady postępowania profilaktyczno-leczniczego w chorobach narządu żucia 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</w:pPr>
            <w:r w:rsidRPr="00AA2420"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</w:pPr>
            <w:r w:rsidRPr="00AA2420">
              <w:t xml:space="preserve">WY,CK 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</w:pPr>
            <w:r w:rsidRPr="00AA2420">
              <w:t>Zna zasady postępowania w chorobach twardych tkanek zęba pochodzenia próchnicowego i niepróchnicowego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</w:pPr>
            <w:r w:rsidRPr="00AA2420">
              <w:t>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</w:pPr>
            <w:r w:rsidRPr="00AA2420">
              <w:t>Zna zasady minimalnie inwazyjnego leczenia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</w:pPr>
            <w:r w:rsidRPr="00AA2420">
              <w:t>WY,CK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W04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sz w:val="24"/>
                <w:szCs w:val="24"/>
              </w:rPr>
              <w:t xml:space="preserve">F.W9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morfologię jam zębowych i zasady leczenia endodontycznego oraz instrumentarium;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SE,CK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W05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wskazania do ponownego leczenia kariologicznego i endodontycznego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SE, 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W06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F.W.13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wskazania i przeciwwskazania do wykonania zabiegów w </w:t>
            </w:r>
            <w:r w:rsidRPr="00AA2420">
              <w:rPr>
                <w:sz w:val="24"/>
                <w:szCs w:val="24"/>
              </w:rPr>
              <w:lastRenderedPageBreak/>
              <w:t>zakresie stomatologii estetycznej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lastRenderedPageBreak/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CK</w:t>
            </w:r>
          </w:p>
        </w:tc>
      </w:tr>
      <w:tr w:rsidR="00130C17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30C17" w:rsidRPr="00AA2420" w:rsidRDefault="00BF6FA8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lastRenderedPageBreak/>
              <w:t>W07</w:t>
            </w:r>
          </w:p>
        </w:tc>
        <w:tc>
          <w:tcPr>
            <w:tcW w:w="1276" w:type="dxa"/>
            <w:gridSpan w:val="4"/>
          </w:tcPr>
          <w:p w:rsidR="00130C17" w:rsidRPr="00AA2420" w:rsidRDefault="00130C17" w:rsidP="00DB60EF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F.W.22 </w:t>
            </w:r>
          </w:p>
        </w:tc>
        <w:tc>
          <w:tcPr>
            <w:tcW w:w="3260" w:type="dxa"/>
            <w:gridSpan w:val="7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i rozumie wzajemny związek stanu zdrowotnego jamy ustnej z chorobami </w:t>
            </w:r>
          </w:p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systemowymi</w:t>
            </w:r>
          </w:p>
        </w:tc>
        <w:tc>
          <w:tcPr>
            <w:tcW w:w="1985" w:type="dxa"/>
            <w:gridSpan w:val="5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130C17" w:rsidRPr="00AA2420" w:rsidRDefault="00130C17" w:rsidP="00DB60EF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WY, SE, 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U01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F.U2.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F.U3.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F.U7. 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F.U8.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F.U18.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Ustala i prowadzi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U07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F.U13. 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72442B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72442B" w:rsidRPr="0046685B" w:rsidRDefault="0072442B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1276" w:type="dxa"/>
            <w:gridSpan w:val="4"/>
          </w:tcPr>
          <w:p w:rsidR="0072442B" w:rsidRPr="0046685B" w:rsidRDefault="0072442B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72442B" w:rsidRPr="00BD0E50" w:rsidRDefault="0072442B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72442B" w:rsidRPr="00BD0E50" w:rsidRDefault="0072442B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CK</w:t>
            </w:r>
          </w:p>
        </w:tc>
      </w:tr>
      <w:tr w:rsidR="0072442B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72442B" w:rsidRPr="0046685B" w:rsidRDefault="0072442B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lastRenderedPageBreak/>
              <w:t>K02</w:t>
            </w:r>
          </w:p>
        </w:tc>
        <w:tc>
          <w:tcPr>
            <w:tcW w:w="1276" w:type="dxa"/>
            <w:gridSpan w:val="4"/>
          </w:tcPr>
          <w:p w:rsidR="0072442B" w:rsidRPr="0046685B" w:rsidRDefault="0072442B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72442B" w:rsidRPr="00BD0E50" w:rsidRDefault="0072442B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72442B" w:rsidRPr="00BD0E50" w:rsidRDefault="0072442B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72442B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72442B" w:rsidRPr="0046685B" w:rsidRDefault="0072442B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1276" w:type="dxa"/>
            <w:gridSpan w:val="4"/>
          </w:tcPr>
          <w:p w:rsidR="0072442B" w:rsidRPr="0046685B" w:rsidRDefault="0072442B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72442B" w:rsidRPr="00BD0E50" w:rsidRDefault="0072442B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</w:p>
        </w:tc>
        <w:tc>
          <w:tcPr>
            <w:tcW w:w="1985" w:type="dxa"/>
            <w:gridSpan w:val="5"/>
          </w:tcPr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72442B" w:rsidRPr="008869AF" w:rsidRDefault="0072442B" w:rsidP="00005821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72442B" w:rsidRPr="00BD0E50" w:rsidRDefault="0072442B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</w:p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>
              <w:rPr>
                <w:rFonts w:ascii="Calibri Light" w:hAnsi="Calibri Light"/>
              </w:rPr>
              <w:t xml:space="preserve"> społeczne: 5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72442B" w:rsidRPr="00B61163" w:rsidTr="0044201C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72442B" w:rsidRPr="00B61163" w:rsidRDefault="0072442B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72442B" w:rsidRPr="0044201C" w:rsidRDefault="0072442B" w:rsidP="0044201C">
            <w:pPr>
              <w:spacing w:after="0"/>
              <w:rPr>
                <w:sz w:val="18"/>
                <w:szCs w:val="18"/>
              </w:rPr>
            </w:pPr>
            <w:r w:rsidRPr="0044201C">
              <w:rPr>
                <w:sz w:val="18"/>
                <w:szCs w:val="18"/>
              </w:rPr>
              <w:t>Praktyki wakacyjne (h)</w:t>
            </w:r>
          </w:p>
          <w:p w:rsidR="0072442B" w:rsidRPr="00B61163" w:rsidRDefault="0072442B" w:rsidP="0044201C">
            <w:pPr>
              <w:spacing w:after="0"/>
              <w:rPr>
                <w:rFonts w:ascii="Calibri Light" w:hAnsi="Calibri Light"/>
              </w:rPr>
            </w:pPr>
            <w:r>
              <w:rPr>
                <w:sz w:val="18"/>
                <w:szCs w:val="18"/>
              </w:rPr>
              <w:t xml:space="preserve">Po letnim </w:t>
            </w:r>
            <w:r w:rsidRPr="0044201C">
              <w:rPr>
                <w:sz w:val="18"/>
                <w:szCs w:val="18"/>
              </w:rPr>
              <w:t>semestrze</w:t>
            </w:r>
          </w:p>
        </w:tc>
      </w:tr>
      <w:tr w:rsidR="0072442B" w:rsidRPr="00B61163" w:rsidTr="00DB60EF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Sem.zim.</w:t>
            </w:r>
          </w:p>
        </w:tc>
        <w:tc>
          <w:tcPr>
            <w:tcW w:w="709" w:type="dxa"/>
            <w:gridSpan w:val="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letni</w:t>
            </w:r>
          </w:p>
        </w:tc>
        <w:tc>
          <w:tcPr>
            <w:tcW w:w="1418" w:type="dxa"/>
            <w:gridSpan w:val="4"/>
            <w:vMerge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72442B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72442B" w:rsidRPr="00B61163" w:rsidRDefault="0072442B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4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2442B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Pr="00835A87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Pr="0072442B">
              <w:rPr>
                <w:rFonts w:eastAsia="Times New Roman"/>
                <w:sz w:val="20"/>
                <w:szCs w:val="20"/>
              </w:rPr>
              <w:t>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4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442B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4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2442B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72442B" w:rsidRPr="00BD0E50" w:rsidRDefault="0072442B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2442B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2442B" w:rsidRPr="00B61163" w:rsidRDefault="007244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  <w:r>
              <w:rPr>
                <w:rFonts w:ascii="Calibri Light" w:hAnsi="Calibri Light"/>
                <w:b/>
              </w:rPr>
              <w:t>- semestr letni</w:t>
            </w:r>
          </w:p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8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7654"/>
            </w:tblGrid>
            <w:tr w:rsidR="0072442B" w:rsidRPr="007E0909" w:rsidTr="008B23C7">
              <w:tc>
                <w:tcPr>
                  <w:tcW w:w="496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54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 xml:space="preserve">Jakościowe i ilościowe najnowsze metody wykrywania wczesnych zmian próchnicowych , podejmowanie decyzji o nieinwazyjnym i operacyjnym postępowaniu terapeutycznym, </w:t>
                  </w:r>
                  <w:r w:rsidRPr="007E0909">
                    <w:rPr>
                      <w:sz w:val="20"/>
                      <w:szCs w:val="20"/>
                    </w:rPr>
                    <w:lastRenderedPageBreak/>
                    <w:t>prognoza podejmowanych.</w:t>
                  </w:r>
                </w:p>
              </w:tc>
            </w:tr>
            <w:tr w:rsidR="0072442B" w:rsidRPr="007E0909" w:rsidTr="008B23C7">
              <w:tc>
                <w:tcPr>
                  <w:tcW w:w="496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7654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Adhezja do szkliwa i do zębiny; systemy adhezyjne .Optymalny wybór materiału do rekonstrukcji poszczególnych klas ubytków .</w:t>
                  </w:r>
                </w:p>
              </w:tc>
            </w:tr>
            <w:tr w:rsidR="0072442B" w:rsidRPr="007E0909" w:rsidTr="008B23C7">
              <w:trPr>
                <w:trHeight w:val="333"/>
              </w:trPr>
              <w:tc>
                <w:tcPr>
                  <w:tcW w:w="496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54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Współczesna koncepcja zapobiegania próchnicy. Zapobieganie próchnicy zębów i kontrola progresji choroby ,zatrzymanie procesu chorobowego vs remineralizacja , koncepcja zapobiegawczego (nieoperacyjnego) leczenia.</w:t>
                  </w:r>
                </w:p>
              </w:tc>
            </w:tr>
            <w:tr w:rsidR="0072442B" w:rsidRPr="007E0909" w:rsidTr="008B23C7">
              <w:tc>
                <w:tcPr>
                  <w:tcW w:w="496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654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Postępowanie zapobiegawczo – terapeutyczne u pacjentów w wieku starszym. Próchnica korzenia – uwarunkowania rozwoju , obraz kliniczny , postępowanie lecznicze i zapobiegawcze.</w:t>
                  </w:r>
                </w:p>
              </w:tc>
            </w:tr>
            <w:tr w:rsidR="0072442B" w:rsidRPr="007E0909" w:rsidTr="008B23C7">
              <w:trPr>
                <w:trHeight w:val="572"/>
              </w:trPr>
              <w:tc>
                <w:tcPr>
                  <w:tcW w:w="496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54" w:type="dxa"/>
                </w:tcPr>
                <w:p w:rsidR="0072442B" w:rsidRPr="007E0909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Choroby systemowe a leczenie stomatologiczne : cukrzyca, choroby sercowo-naczyniowe (zawał , nadciśnienie, zaburzenia krwawienia, udar, antykoagulanty), choroby nerek, płuc, wątroby, immunosupresja, menopauza, ciąża.</w:t>
                  </w:r>
                </w:p>
              </w:tc>
            </w:tr>
          </w:tbl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Seminaria</w:t>
            </w:r>
            <w:r>
              <w:rPr>
                <w:rFonts w:ascii="Calibri Light" w:hAnsi="Calibri Light" w:cs="Times"/>
                <w:b/>
              </w:rPr>
              <w:t>- semestr zimowy</w:t>
            </w:r>
          </w:p>
          <w:p w:rsidR="0072442B" w:rsidRPr="007A35AD" w:rsidRDefault="0072442B" w:rsidP="00053668">
            <w:pPr>
              <w:spacing w:after="0" w:line="240" w:lineRule="auto"/>
              <w:rPr>
                <w:bCs/>
              </w:rPr>
            </w:pPr>
            <w:r w:rsidRPr="00B61163">
              <w:rPr>
                <w:rFonts w:ascii="Calibri Light" w:hAnsi="Calibri Light"/>
              </w:rPr>
              <w:t>1.</w:t>
            </w:r>
            <w:r w:rsidRPr="00F55F0F">
              <w:rPr>
                <w:b/>
                <w:bCs/>
                <w:sz w:val="20"/>
                <w:szCs w:val="20"/>
              </w:rPr>
              <w:t xml:space="preserve"> 1.</w:t>
            </w:r>
            <w:r w:rsidRPr="00F55F0F">
              <w:rPr>
                <w:bCs/>
                <w:sz w:val="20"/>
                <w:szCs w:val="20"/>
              </w:rPr>
              <w:t xml:space="preserve"> </w:t>
            </w:r>
            <w:r w:rsidRPr="00053668">
              <w:rPr>
                <w:bCs/>
                <w:sz w:val="16"/>
                <w:szCs w:val="16"/>
              </w:rPr>
              <w:t>Strategie w leczeniu  kanałów zainfekowanych (opracowanie, środki dezynfekujące, jonoforeza, elektrosterylizacja)</w:t>
            </w:r>
            <w:r>
              <w:rPr>
                <w:sz w:val="18"/>
                <w:szCs w:val="16"/>
              </w:rPr>
              <w:tab/>
            </w:r>
          </w:p>
          <w:p w:rsidR="0072442B" w:rsidRPr="00053668" w:rsidRDefault="0072442B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2.</w:t>
            </w:r>
            <w:r w:rsidRPr="00F55F0F">
              <w:rPr>
                <w:sz w:val="20"/>
                <w:szCs w:val="20"/>
              </w:rPr>
              <w:t xml:space="preserve"> Wczesne i późne powikłania w leczeniu endodontycznym. Rentgenodiagnostyka.</w:t>
            </w:r>
          </w:p>
          <w:p w:rsidR="0072442B" w:rsidRPr="00F55F0F" w:rsidRDefault="0072442B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3. Zapalenie tkanek okołowierzchołkowych – etiopatomechanizm , obraz kliniczny i radiologiczny , postępowanie terapeutyczne ,rokowanie , pierwsza pomoc w leczeniu endodontycznym, ponowne leczenie endodontyczne</w:t>
            </w:r>
          </w:p>
          <w:p w:rsidR="0072442B" w:rsidRPr="00F55F0F" w:rsidRDefault="0072442B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4. Resorpcje – etiopatomechanizm , obraz kliniczny i radiologiczny, postępowanie terapeutyczne , rokowanie.</w:t>
            </w:r>
          </w:p>
          <w:p w:rsidR="0072442B" w:rsidRPr="00F55F0F" w:rsidRDefault="0072442B" w:rsidP="00AA242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5. Leczenie endodontyczno – chirurgiczne (resekcja, hemisekcja, radektomia, bikuspidacja, autoreplantacja – wybór metody, postępowanie lecznicze, rokowanie</w:t>
            </w:r>
            <w:r w:rsidRPr="00F55F0F">
              <w:rPr>
                <w:b/>
                <w:bCs/>
                <w:sz w:val="20"/>
                <w:szCs w:val="20"/>
              </w:rPr>
              <w:t xml:space="preserve"> </w:t>
            </w:r>
          </w:p>
          <w:p w:rsidR="0072442B" w:rsidRPr="00F55F0F" w:rsidRDefault="0072442B" w:rsidP="00AA2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6.Powtórne leczenie endodontyczne : przyczyny , wybór postępowania terapeutycznego – powtórne leczenie kanałowe w leczeniu endodontyczno – chirurgicznym.</w:t>
            </w:r>
          </w:p>
          <w:p w:rsidR="0072442B" w:rsidRPr="00AA2420" w:rsidRDefault="0072442B" w:rsidP="00AA2420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F55F0F">
              <w:rPr>
                <w:bCs/>
                <w:sz w:val="20"/>
                <w:szCs w:val="20"/>
              </w:rPr>
              <w:t>7. Zmiany endo – perio: etiopatogeneza, obraz kliniczno – radiologiczny, klasyfikacje ,diagnostyka , postępowanie terapeutyczne, rokowanie</w:t>
            </w:r>
            <w:r w:rsidRPr="00F55F0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  <w:r>
              <w:rPr>
                <w:rFonts w:ascii="Calibri Light" w:hAnsi="Calibri Light" w:cs="Times"/>
                <w:b/>
              </w:rPr>
              <w:t xml:space="preserve"> semestr zimowy</w:t>
            </w:r>
          </w:p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47"/>
              <w:gridCol w:w="8930"/>
            </w:tblGrid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Wprowadzenie do ćwiczeń klinicznych, omówienie regulaminu i warunków zaliczenia;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2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b/>
                      <w:bCs/>
                      <w:sz w:val="20"/>
                      <w:szCs w:val="20"/>
                    </w:rPr>
                    <w:t>Repetytorium z wiedzy nabytej na III roku z zakresu kariologii i endodoncji</w:t>
                  </w:r>
                  <w:r w:rsidRPr="00AF2462">
                    <w:rPr>
                      <w:sz w:val="20"/>
                      <w:szCs w:val="20"/>
                    </w:rPr>
                    <w:t xml:space="preserve"> (warunkujące dopuszczenie do zajęć </w:t>
                  </w:r>
                  <w:r w:rsidRPr="00AF2462">
                    <w:rPr>
                      <w:b/>
                      <w:bCs/>
                      <w:sz w:val="20"/>
                      <w:szCs w:val="20"/>
                    </w:rPr>
                    <w:t>Repetytorium z wiedzy nabytej na III roku z zakresu endodoncji</w:t>
                  </w:r>
                  <w:r w:rsidRPr="00AF2462">
                    <w:rPr>
                      <w:sz w:val="20"/>
                      <w:szCs w:val="20"/>
                    </w:rPr>
                    <w:t xml:space="preserve"> (warunkujące dopuszczenie do zajęć klinicznych)</w:t>
                  </w:r>
                  <w:r w:rsidRPr="00AF2462">
                    <w:rPr>
                      <w:b/>
                      <w:sz w:val="20"/>
                      <w:szCs w:val="20"/>
                    </w:rPr>
                    <w:t>-test</w:t>
                  </w:r>
                </w:p>
                <w:p w:rsidR="0072442B" w:rsidRPr="00AF2462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Endodoncja: pulpopatie odwracalne i nieodwracalne, objawy, diagnostyka, leczenie. Etapy leczenia endodontycznego.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F2462">
                    <w:rPr>
                      <w:sz w:val="20"/>
                      <w:szCs w:val="20"/>
                    </w:rPr>
                    <w:t>Zapalenie tkanek okołowierzchołkowych –objawy obraz kliniczny i radiologiczny, postępowanie</w:t>
                  </w:r>
                </w:p>
              </w:tc>
            </w:tr>
            <w:tr w:rsidR="0072442B" w:rsidRPr="00AF2462" w:rsidTr="008B23C7">
              <w:trPr>
                <w:trHeight w:val="684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3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AF2462">
                    <w:rPr>
                      <w:bCs/>
                      <w:sz w:val="20"/>
                      <w:szCs w:val="20"/>
                    </w:rPr>
                    <w:t>Strategie w leczeniu  kanałów zainfekowanych (opracowanie, środki dezynfekujące, jonoforeza, elektrosterylizacja)</w:t>
                  </w:r>
                  <w:r w:rsidRPr="00AF2462">
                    <w:rPr>
                      <w:b/>
                      <w:sz w:val="20"/>
                      <w:szCs w:val="20"/>
                    </w:rPr>
                    <w:t>forma zaliczenia tematu: esej</w:t>
                  </w:r>
                </w:p>
                <w:p w:rsidR="0072442B" w:rsidRPr="00AF2462" w:rsidRDefault="0072442B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4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357B0D" w:rsidRDefault="0072442B" w:rsidP="00D22D25">
                  <w:pPr>
                    <w:spacing w:after="0" w:line="240" w:lineRule="auto"/>
                  </w:pPr>
                  <w:r w:rsidRPr="00510FF9">
                    <w:t>Wczesne i późne powikłania w leczeniu endodontycznym</w:t>
                  </w:r>
                  <w:r>
                    <w:t>. Rentgenodiagnostyka.</w:t>
                  </w:r>
                  <w:r w:rsidRPr="00D0184E">
                    <w:rPr>
                      <w:rFonts w:ascii="Tahoma" w:hAnsi="Tahoma" w:cs="Tahoma"/>
                      <w:color w:val="000000"/>
                    </w:rPr>
                    <w:t>-</w:t>
                  </w:r>
                  <w:r w:rsidRPr="00D0184E">
                    <w:rPr>
                      <w:rFonts w:ascii="Times New Roman" w:hAnsi="Times New Roman"/>
                      <w:b/>
                    </w:rPr>
                    <w:t xml:space="preserve"> forma zaliczenia tematu: esej</w:t>
                  </w:r>
                </w:p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 xml:space="preserve">Ćwiczenie 5 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Default="0072442B" w:rsidP="00D22D2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Zapalenie tkanek okołowierzchołkowych – etiopatomechanizm , obraz kliniczny i radiologiczny , postępowanie terapeutyczne ,rokowanie , pierwsza pomoc w leczeniu endodontycznym, ponowne leczenie endodontyczne</w:t>
                  </w:r>
                  <w:r w:rsidRPr="00D0184E">
                    <w:rPr>
                      <w:rFonts w:ascii="Times New Roman" w:hAnsi="Times New Roman"/>
                      <w:b/>
                    </w:rPr>
                    <w:t>- forma zaliczenia tematu: esej</w:t>
                  </w:r>
                </w:p>
                <w:p w:rsidR="0072442B" w:rsidRPr="00AF2462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6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7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Default="0072442B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Resorpcje - – etiopatomechanizm , obraz kliniczny i radiologiczny,</w:t>
                  </w:r>
                  <w:r w:rsidRPr="00BE5FE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postępowanie terapeutyczne ,rokowanie.</w:t>
                  </w:r>
                  <w:r w:rsidRPr="00D0184E">
                    <w:rPr>
                      <w:rFonts w:ascii="Times New Roman" w:hAnsi="Times New Roman"/>
                      <w:b/>
                    </w:rPr>
                    <w:t>forma zaliczenia tematu: esej</w:t>
                  </w:r>
                </w:p>
                <w:p w:rsidR="0072442B" w:rsidRPr="00D22D25" w:rsidRDefault="0072442B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8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Default="0072442B" w:rsidP="00D22D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AF246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Leczenie endodontyczno – chirurgiczne (resekcja, hemisekcja, radektomia, bikuspidacja, autoreplantacja – wybór metody, postępowanie lecznicze, rokowanie)</w:t>
                  </w:r>
                  <w:r w:rsidRPr="00D0184E">
                    <w:rPr>
                      <w:rFonts w:ascii="Times New Roman" w:hAnsi="Times New Roman"/>
                      <w:b/>
                    </w:rPr>
                    <w:t>forma zaliczenia tematu: esej</w:t>
                  </w:r>
                </w:p>
                <w:p w:rsidR="0072442B" w:rsidRPr="00D22D25" w:rsidRDefault="0072442B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9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Default="0072442B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Powtórne leczenie endodontyczne : przyczyny , wybór postępowania terapeutycznego – powtórne leczenie kanałowe w leczeniu endodontyczno – chirurgicznym.</w:t>
                  </w:r>
                  <w:r w:rsidRPr="00D0184E">
                    <w:rPr>
                      <w:rFonts w:ascii="Times New Roman" w:hAnsi="Times New Roman"/>
                    </w:rPr>
                    <w:t xml:space="preserve"> </w:t>
                  </w:r>
                  <w:r w:rsidRPr="00D0184E">
                    <w:rPr>
                      <w:rFonts w:ascii="Times New Roman" w:hAnsi="Times New Roman"/>
                      <w:b/>
                    </w:rPr>
                    <w:t>forma zaliczenia tematu: esej</w:t>
                  </w:r>
                </w:p>
                <w:p w:rsidR="0072442B" w:rsidRPr="00AF2462" w:rsidRDefault="0072442B" w:rsidP="00D22D25">
                  <w:pPr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lastRenderedPageBreak/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lastRenderedPageBreak/>
                    <w:t>Ćwiczenie 10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Default="0072442B" w:rsidP="00D22D25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Zmiany endo – perio: etiopatogeneza, obraz kliniczno – radiologiczny, klasyfikacje ,diagnostyka , postępowanie terapeutyczne, rokowanie.</w:t>
                  </w:r>
                </w:p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11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12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13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  <w:r w:rsidRPr="00AF2462">
                    <w:rPr>
                      <w:b/>
                      <w:sz w:val="20"/>
                      <w:szCs w:val="20"/>
                    </w:rPr>
                    <w:t xml:space="preserve"> Test zaliczeniowy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14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</w:t>
                  </w:r>
                </w:p>
              </w:tc>
            </w:tr>
            <w:tr w:rsidR="0072442B" w:rsidRPr="00AF2462" w:rsidTr="008B23C7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2442B" w:rsidRPr="00AF2462" w:rsidRDefault="0072442B" w:rsidP="008B23C7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15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442B" w:rsidRPr="00AF2462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</w:tbl>
          <w:p w:rsidR="0072442B" w:rsidRPr="00B61163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</w:p>
          <w:p w:rsidR="0072442B" w:rsidRDefault="007244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2Ćwiczenia –semestr letni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9072"/>
            </w:tblGrid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 xml:space="preserve">Ćwiczenie 1 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rPr>
                <w:trHeight w:val="350"/>
              </w:trPr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Cwiczenie2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Jakościowe i ilościowe najnowsze metody wykrywania wczesnych zmian próchnicowych , podejmowanie decyzji o nieinwazyjnym i operacyjnym postępowaniu terapeutycznym, prognoza podejmowanych.</w:t>
                  </w:r>
                </w:p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3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4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Adhezja do szkliwa i do zębiny; systemy adhezyjne. Optymalny wybór materiału do rekonstrukcji poszczególnych klas ubytków .</w:t>
                  </w:r>
                </w:p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5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6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Współczesna koncepcja zapobiegania próchnicy. Zapobieganie próchnicy zębów i kontrola progresji choroby ,zatrzymanie procesu chorobowego vs remineralizacja , koncepcja zapobiegawczego (nieoperacyjnego) leczenia.</w:t>
                  </w:r>
                </w:p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7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  <w:rPr>
                      <w:b/>
                    </w:rPr>
                  </w:pPr>
                  <w:r w:rsidRPr="000349A6">
                    <w:t>Ćwiczenie 8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Postępowaniwe zapobiegawczo – terapeutyczne u pacjentów w wieku starszym. Próchnica korzenia – uwarunkowania rozwoju , obraz kliniczny , postępowanie lecznicze i zapobiegawcze.</w:t>
                  </w:r>
                </w:p>
                <w:p w:rsidR="0072442B" w:rsidRPr="005C35EC" w:rsidRDefault="0072442B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9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10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Choroby systemowe a leczenie stomatologiczne : cukrzyca, choroby sercowo-naczyniowe (zawał , nadciśnienie, zaburzenia krwawienia, udar, antykoagulanty), choroby nerek, płuc, wątroby, immunosupresja, menopauza, ciąża.</w:t>
                  </w:r>
                </w:p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11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12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Zakażenia odogniskowe – etiopatogeneza ,symptomatologia, diagnostyka, postępowanie terapeutyczne. </w:t>
                  </w:r>
                </w:p>
                <w:p w:rsidR="0072442B" w:rsidRPr="005C35EC" w:rsidRDefault="0072442B" w:rsidP="008B23C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13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14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Sprawdzian zaliczeniowy. Forma zaliczenia : </w:t>
                  </w:r>
                  <w:r w:rsidRPr="005C35EC">
                    <w:rPr>
                      <w:b/>
                      <w:sz w:val="20"/>
                      <w:szCs w:val="20"/>
                    </w:rPr>
                    <w:t>Esej</w:t>
                  </w:r>
                </w:p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72442B" w:rsidRPr="000349A6" w:rsidTr="008B23C7">
              <w:tc>
                <w:tcPr>
                  <w:tcW w:w="1305" w:type="dxa"/>
                </w:tcPr>
                <w:p w:rsidR="0072442B" w:rsidRPr="000349A6" w:rsidRDefault="0072442B" w:rsidP="008B23C7">
                  <w:pPr>
                    <w:spacing w:after="0" w:line="240" w:lineRule="auto"/>
                  </w:pPr>
                  <w:r w:rsidRPr="000349A6">
                    <w:t>Ćwiczenie 15</w:t>
                  </w:r>
                </w:p>
              </w:tc>
              <w:tc>
                <w:tcPr>
                  <w:tcW w:w="9072" w:type="dxa"/>
                </w:tcPr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Zaliczenie ćwiczeń. </w:t>
                  </w:r>
                </w:p>
                <w:p w:rsidR="0072442B" w:rsidRPr="005C35EC" w:rsidRDefault="0072442B" w:rsidP="008B23C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</w:tbl>
          <w:p w:rsidR="0072442B" w:rsidRPr="00B61163" w:rsidRDefault="0072442B" w:rsidP="00D22D25">
            <w:pPr>
              <w:spacing w:after="0"/>
              <w:rPr>
                <w:rFonts w:ascii="Calibri Light" w:hAnsi="Calibri Light"/>
                <w:b/>
                <w:bCs/>
              </w:rPr>
            </w:pPr>
            <w:r w:rsidRPr="00B61163">
              <w:rPr>
                <w:rFonts w:ascii="Calibri Light" w:hAnsi="Calibri Light"/>
                <w:b/>
                <w:bCs/>
              </w:rPr>
              <w:t xml:space="preserve"> </w:t>
            </w: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D22D25" w:rsidRDefault="0072442B" w:rsidP="00BA2B32">
            <w:pPr>
              <w:spacing w:after="0"/>
              <w:rPr>
                <w:rFonts w:ascii="Calibri Light" w:hAnsi="Calibri Light" w:cs="Times"/>
                <w:b/>
              </w:rPr>
            </w:pP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72442B" w:rsidRPr="00AF2462" w:rsidRDefault="0072442B" w:rsidP="0044201C">
            <w:pPr>
              <w:spacing w:after="0"/>
              <w:rPr>
                <w:sz w:val="20"/>
                <w:szCs w:val="20"/>
              </w:rPr>
            </w:pPr>
            <w:r w:rsidRPr="00EE04B2">
              <w:rPr>
                <w:rFonts w:ascii="Times New Roman" w:hAnsi="Times New Roman"/>
              </w:rPr>
              <w:t>1</w:t>
            </w:r>
            <w:r w:rsidRPr="00AF2462">
              <w:rPr>
                <w:sz w:val="20"/>
                <w:szCs w:val="20"/>
              </w:rPr>
              <w:t>. .Jańczuk Z., Kaczmarek U., Lipski M.: Stomatologia zachowawcza z endodoncją.  Zarys kliniczny. Podręcznik dla studentów stomatologii. PZWL, Warszawa 2014.</w:t>
            </w:r>
          </w:p>
          <w:p w:rsidR="0072442B" w:rsidRPr="00AF2462" w:rsidRDefault="0072442B" w:rsidP="0044201C">
            <w:pPr>
              <w:spacing w:after="0"/>
              <w:ind w:right="-289"/>
              <w:rPr>
                <w:sz w:val="20"/>
                <w:szCs w:val="20"/>
                <w:lang w:val="en-US"/>
              </w:rPr>
            </w:pPr>
            <w:r w:rsidRPr="00AF2462">
              <w:rPr>
                <w:sz w:val="20"/>
                <w:szCs w:val="20"/>
              </w:rPr>
              <w:t xml:space="preserve"> 2.Piatowska D. Kariologia współczesna. </w:t>
            </w:r>
            <w:r w:rsidRPr="00AF2462">
              <w:rPr>
                <w:sz w:val="20"/>
                <w:szCs w:val="20"/>
                <w:lang w:val="en-US"/>
              </w:rPr>
              <w:t>Med. Tour Press International. Warszawa 2011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AF2462">
              <w:rPr>
                <w:sz w:val="20"/>
                <w:szCs w:val="20"/>
              </w:rPr>
              <w:t>3. Arabska -Przedpełska B, Pawlicka H..: Współczesna endodoncja w praktyce. Bestom, Łódź 2011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72442B" w:rsidRPr="00AF2462" w:rsidRDefault="0072442B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>1. E.W.Odell: Rozwiązywanie problemów klinicznych w stomatologii. Tłum. polskie. Wydawnictwo Czelej, 2002.</w:t>
            </w:r>
          </w:p>
          <w:p w:rsidR="0072442B" w:rsidRPr="00AF2462" w:rsidRDefault="0072442B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2462">
              <w:rPr>
                <w:sz w:val="20"/>
                <w:szCs w:val="20"/>
              </w:rPr>
              <w:t>.Sikorska-Jaroszyńska M/H.J., Jaroszyński A., Brzeziński K. Stany nagłe w stomatologii. Wydawnictwo Czelej, Lublin 2001.</w:t>
            </w:r>
          </w:p>
          <w:p w:rsidR="0072442B" w:rsidRPr="00BD0E50" w:rsidRDefault="0072442B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lastRenderedPageBreak/>
              <w:t xml:space="preserve">3. Fejerskov O., Kidd E.: Próchnica zębów. Choroba próchnicowa i postępowanie kliniczne. Wydanie polskie. Urban &amp; Partner 2006. 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D0E50">
              <w:rPr>
                <w:sz w:val="24"/>
                <w:szCs w:val="24"/>
              </w:rPr>
              <w:t>Rzutnik multimedialny, komputer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B61163" w:rsidRDefault="0072442B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  <w:r w:rsidRPr="008577E7">
              <w:rPr>
                <w:sz w:val="20"/>
                <w:szCs w:val="20"/>
              </w:rPr>
              <w:t>Na zajęcia na roku IV student przystępuje po zalicze</w:t>
            </w:r>
            <w:r>
              <w:rPr>
                <w:sz w:val="20"/>
                <w:szCs w:val="20"/>
              </w:rPr>
              <w:t>niu roku III oraz egzaminu z zakresu stomatologii zachowawczej po III</w:t>
            </w:r>
            <w:r w:rsidRPr="008577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roku.</w:t>
            </w:r>
          </w:p>
          <w:p w:rsidR="0072442B" w:rsidRPr="00B61163" w:rsidRDefault="0072442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72442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72442B" w:rsidRPr="008859E2" w:rsidRDefault="0072442B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72442B" w:rsidRPr="00BD0E50" w:rsidRDefault="0072442B" w:rsidP="00235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BD0E50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</w:t>
            </w:r>
            <w:r>
              <w:rPr>
                <w:rFonts w:cs="Times New Roman"/>
                <w:sz w:val="20"/>
                <w:szCs w:val="20"/>
              </w:rPr>
              <w:t>. Nieobecność na seminarium- zaliczenie materiału w terminie 2 tyg.</w:t>
            </w:r>
          </w:p>
          <w:p w:rsidR="0072442B" w:rsidRPr="00BD0E50" w:rsidRDefault="0072442B" w:rsidP="00235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rFonts w:cs="Times New Roman"/>
                <w:sz w:val="20"/>
                <w:szCs w:val="20"/>
              </w:rPr>
              <w:t>Zaliczenie wiedzy teoretycznej na ocenę pozytywną u prowadzącego asystenta</w:t>
            </w:r>
          </w:p>
          <w:p w:rsidR="0072442B" w:rsidRPr="00646AF2" w:rsidRDefault="0072442B" w:rsidP="002351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46AF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72442B" w:rsidRDefault="0072442B" w:rsidP="0023517D">
            <w:pPr>
              <w:spacing w:after="0" w:line="240" w:lineRule="auto"/>
              <w:ind w:right="-28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4.</w:t>
            </w:r>
            <w:r w:rsidRPr="00AF2462">
              <w:rPr>
                <w:sz w:val="18"/>
                <w:szCs w:val="18"/>
              </w:rPr>
              <w:t>Prezentacje na seminaria mają być przygotowane w  formie ustnej oraz w wersji elektronicznej</w:t>
            </w:r>
          </w:p>
          <w:p w:rsidR="0072442B" w:rsidRPr="00243B55" w:rsidRDefault="0072442B" w:rsidP="0023517D">
            <w:pPr>
              <w:spacing w:after="0" w:line="240" w:lineRule="auto"/>
              <w:rPr>
                <w:sz w:val="20"/>
                <w:szCs w:val="20"/>
              </w:rPr>
            </w:pPr>
            <w:r w:rsidRPr="00243B55">
              <w:rPr>
                <w:b/>
                <w:bCs/>
                <w:sz w:val="20"/>
                <w:szCs w:val="20"/>
              </w:rPr>
              <w:t>Wymagane zabiegi na IV roku:</w:t>
            </w:r>
            <w:r w:rsidRPr="00243B55">
              <w:rPr>
                <w:sz w:val="20"/>
                <w:szCs w:val="20"/>
              </w:rPr>
              <w:t xml:space="preserve"> (norma roczna)</w:t>
            </w:r>
          </w:p>
          <w:p w:rsidR="0072442B" w:rsidRPr="00243B55" w:rsidRDefault="0072442B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-badanie stomatologiczne i wypełnienie karty dla każdego nowego pacjenta</w:t>
            </w:r>
          </w:p>
          <w:p w:rsidR="0072442B" w:rsidRPr="00243B55" w:rsidRDefault="0072442B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-rentgenodiagnostyk</w:t>
            </w:r>
            <w:r>
              <w:rPr>
                <w:sz w:val="20"/>
                <w:szCs w:val="20"/>
              </w:rPr>
              <w:t>a - interpretacja zdjęcia rtg  8</w:t>
            </w:r>
          </w:p>
          <w:p w:rsidR="0072442B" w:rsidRPr="00243B55" w:rsidRDefault="0072442B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-instruktaż higieniczno-dietetyczny – dla pacjentów pierwszorazowych</w:t>
            </w:r>
          </w:p>
          <w:p w:rsidR="0072442B" w:rsidRPr="00243B55" w:rsidRDefault="0072442B" w:rsidP="002351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-opracowanie i wypełnienie 30</w:t>
            </w:r>
            <w:r w:rsidRPr="00243B55">
              <w:rPr>
                <w:sz w:val="20"/>
                <w:szCs w:val="20"/>
              </w:rPr>
              <w:t xml:space="preserve"> ubytków </w:t>
            </w:r>
          </w:p>
          <w:p w:rsidR="0072442B" w:rsidRPr="0023517D" w:rsidRDefault="0072442B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sz w:val="20"/>
                <w:szCs w:val="20"/>
              </w:rPr>
              <w:t xml:space="preserve"> - 8 kanałów leczonych</w:t>
            </w:r>
            <w:r w:rsidRPr="00243B55">
              <w:rPr>
                <w:sz w:val="20"/>
                <w:szCs w:val="20"/>
              </w:rPr>
              <w:t xml:space="preserve"> endodontycznie</w:t>
            </w:r>
          </w:p>
        </w:tc>
      </w:tr>
      <w:tr w:rsidR="0072442B" w:rsidRPr="00276387" w:rsidTr="00ED0A01">
        <w:trPr>
          <w:trHeight w:val="708"/>
        </w:trPr>
        <w:tc>
          <w:tcPr>
            <w:tcW w:w="9640" w:type="dxa"/>
            <w:gridSpan w:val="23"/>
          </w:tcPr>
          <w:p w:rsidR="0072442B" w:rsidRPr="00276387" w:rsidRDefault="0072442B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2442B" w:rsidRPr="00276387" w:rsidTr="0044201C">
        <w:tc>
          <w:tcPr>
            <w:tcW w:w="1814" w:type="dxa"/>
            <w:gridSpan w:val="3"/>
          </w:tcPr>
          <w:p w:rsidR="0072442B" w:rsidRPr="00276387" w:rsidRDefault="0072442B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72442B" w:rsidRPr="00276387" w:rsidRDefault="0072442B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72442B" w:rsidRPr="00276387" w:rsidTr="0044201C">
        <w:tc>
          <w:tcPr>
            <w:tcW w:w="1814" w:type="dxa"/>
            <w:gridSpan w:val="3"/>
          </w:tcPr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72442B" w:rsidRPr="00202367" w:rsidRDefault="0072442B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 wszystkie istotne aspekty</w:t>
            </w:r>
          </w:p>
        </w:tc>
      </w:tr>
      <w:tr w:rsidR="0072442B" w:rsidRPr="00276387" w:rsidTr="0044201C">
        <w:tc>
          <w:tcPr>
            <w:tcW w:w="1814" w:type="dxa"/>
            <w:gridSpan w:val="3"/>
          </w:tcPr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72442B" w:rsidRPr="00202367" w:rsidRDefault="0072442B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72442B" w:rsidRPr="00276387" w:rsidTr="0044201C">
        <w:tc>
          <w:tcPr>
            <w:tcW w:w="1814" w:type="dxa"/>
            <w:gridSpan w:val="3"/>
          </w:tcPr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72442B" w:rsidRPr="00202367" w:rsidRDefault="0072442B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72442B" w:rsidRPr="00276387" w:rsidTr="0044201C">
        <w:tc>
          <w:tcPr>
            <w:tcW w:w="1814" w:type="dxa"/>
            <w:gridSpan w:val="3"/>
          </w:tcPr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72442B" w:rsidRPr="00202367" w:rsidRDefault="0072442B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72442B" w:rsidRPr="00276387" w:rsidTr="0044201C">
        <w:trPr>
          <w:trHeight w:val="309"/>
        </w:trPr>
        <w:tc>
          <w:tcPr>
            <w:tcW w:w="1814" w:type="dxa"/>
            <w:gridSpan w:val="3"/>
          </w:tcPr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72442B" w:rsidRPr="00276387" w:rsidRDefault="007244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72442B" w:rsidRPr="00202367" w:rsidRDefault="0072442B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72442B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72442B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72442B" w:rsidRPr="008859E2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72442B" w:rsidRPr="0058460D" w:rsidRDefault="0072442B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lastRenderedPageBreak/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72442B" w:rsidRPr="0058460D" w:rsidRDefault="0072442B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2442B" w:rsidRPr="008859E2" w:rsidRDefault="0072442B" w:rsidP="0023517D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</w:t>
            </w:r>
            <w:r w:rsidRPr="00FD0DBD">
              <w:rPr>
                <w:bCs/>
                <w:sz w:val="18"/>
                <w:szCs w:val="18"/>
                <w:lang w:val="en-US"/>
              </w:rPr>
              <w:t xml:space="preserve">(71) 7840362                                 email:  </w:t>
            </w:r>
            <w:hyperlink r:id="rId8" w:history="1">
              <w:r w:rsidRPr="002414D8">
                <w:rPr>
                  <w:rStyle w:val="Hipercze"/>
                  <w:bCs/>
                  <w:sz w:val="18"/>
                  <w:szCs w:val="18"/>
                  <w:lang w:val="en-US"/>
                </w:rPr>
                <w:t>urszula.kaczmarek@umed.wroc.pl</w:t>
              </w:r>
            </w:hyperlink>
          </w:p>
          <w:p w:rsidR="0072442B" w:rsidRPr="00FD0DBD" w:rsidRDefault="0072442B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Pr="00A548B3" w:rsidRDefault="0072442B" w:rsidP="0023517D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72442B" w:rsidRDefault="0072442B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72442B" w:rsidRPr="0072442B" w:rsidRDefault="0072442B" w:rsidP="0072442B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72442B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72442B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72442B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72442B" w:rsidRPr="00E46BB4" w:rsidRDefault="0072442B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>
              <w:rPr>
                <w:sz w:val="18"/>
                <w:szCs w:val="18"/>
              </w:rPr>
              <w:t>Prof. dr hab. Urszula Kaczmarek – wykłady,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Zofia Sozańska – ćwiczenia, </w:t>
            </w:r>
            <w:r w:rsidRPr="008869AF">
              <w:rPr>
                <w:sz w:val="18"/>
                <w:szCs w:val="18"/>
              </w:rPr>
              <w:t>stomatologia zachowawcza z endodoncją</w:t>
            </w:r>
          </w:p>
          <w:p w:rsidR="0072442B" w:rsidRPr="000070E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 med. Dorota Bader</w:t>
            </w:r>
            <w:r>
              <w:rPr>
                <w:sz w:val="18"/>
                <w:szCs w:val="18"/>
              </w:rPr>
              <w:t>-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Piotr Kosior- ćwiczenia, seminaria</w:t>
            </w:r>
            <w:r w:rsidRPr="008869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8869AF">
              <w:rPr>
                <w:sz w:val="18"/>
                <w:szCs w:val="18"/>
              </w:rPr>
              <w:t>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Barbara Malicka-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N. Jawor-ćwiczenia ,seminaria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E. Pszeniczna-Saj- ćwiczenia, seminaria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Skośkiewicz-Malinowska - seminari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  <w:r w:rsidRPr="008869AF">
              <w:t xml:space="preserve"> </w:t>
            </w:r>
            <w:r>
              <w:rPr>
                <w:sz w:val="18"/>
                <w:szCs w:val="18"/>
              </w:rPr>
              <w:t>a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Sołtan – seminaria, ćwiczenia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Anna Skałecka-Sądel –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Jankowska-seminaria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>-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Pr="00CD5676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stom. M. Berdzik- Janecka- seminaria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stom. Andżelika Szymonajtis- Magiera-seminaria </w:t>
            </w:r>
            <w:r w:rsidRPr="008869AF">
              <w:rPr>
                <w:sz w:val="18"/>
                <w:szCs w:val="18"/>
              </w:rPr>
              <w:t>stomatologia zachowawcza z endodoncją</w:t>
            </w:r>
          </w:p>
          <w:p w:rsidR="0072442B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dr.n.med. Tomasz Staniowski-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72442B" w:rsidRPr="00E46BB4" w:rsidRDefault="0072442B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Bogna Kłaniecka-seminaria</w:t>
            </w: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2442B" w:rsidRPr="008859E2" w:rsidRDefault="0072442B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72442B" w:rsidRPr="008859E2" w:rsidTr="00ED0A01">
              <w:tc>
                <w:tcPr>
                  <w:tcW w:w="4705" w:type="dxa"/>
                  <w:vAlign w:val="center"/>
                </w:tcPr>
                <w:p w:rsidR="0072442B" w:rsidRPr="008859E2" w:rsidRDefault="0072442B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72442B" w:rsidRPr="008859E2" w:rsidRDefault="0072442B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72442B" w:rsidRPr="008859E2" w:rsidTr="00ED0A01">
              <w:tc>
                <w:tcPr>
                  <w:tcW w:w="4705" w:type="dxa"/>
                  <w:vAlign w:val="bottom"/>
                </w:tcPr>
                <w:p w:rsidR="0072442B" w:rsidRPr="008859E2" w:rsidRDefault="0072442B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72442B" w:rsidRPr="008859E2" w:rsidRDefault="0072442B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20.06.2018</w:t>
                  </w:r>
                </w:p>
              </w:tc>
              <w:tc>
                <w:tcPr>
                  <w:tcW w:w="4367" w:type="dxa"/>
                  <w:vAlign w:val="bottom"/>
                </w:tcPr>
                <w:p w:rsidR="0072442B" w:rsidRPr="008859E2" w:rsidRDefault="0072442B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72442B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72442B" w:rsidRPr="008859E2" w:rsidRDefault="0072442B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72442B" w:rsidRPr="008859E2" w:rsidRDefault="0072442B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72442B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72442B" w:rsidRPr="008859E2" w:rsidRDefault="0072442B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72442B" w:rsidRPr="008859E2" w:rsidRDefault="0072442B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72442B" w:rsidRPr="008859E2" w:rsidRDefault="0072442B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72442B" w:rsidRPr="008859E2" w:rsidRDefault="0072442B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72442B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72442B" w:rsidRPr="00B61163" w:rsidRDefault="0072442B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72442B" w:rsidRPr="00B61163" w:rsidRDefault="0072442B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72442B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72442B" w:rsidRPr="00B61163" w:rsidRDefault="0072442B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72442B" w:rsidRPr="00B61163" w:rsidRDefault="0072442B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7A" w:rsidRDefault="00490A7A" w:rsidP="00420C0C">
      <w:pPr>
        <w:spacing w:after="0" w:line="240" w:lineRule="auto"/>
      </w:pPr>
      <w:r>
        <w:separator/>
      </w:r>
    </w:p>
  </w:endnote>
  <w:endnote w:type="continuationSeparator" w:id="0">
    <w:p w:rsidR="00490A7A" w:rsidRDefault="00490A7A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871541"/>
      <w:docPartObj>
        <w:docPartGallery w:val="Page Numbers (Bottom of Page)"/>
        <w:docPartUnique/>
      </w:docPartObj>
    </w:sdtPr>
    <w:sdtEndPr/>
    <w:sdtContent>
      <w:p w:rsidR="00E40F41" w:rsidRDefault="00E40F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EEB">
          <w:rPr>
            <w:noProof/>
          </w:rPr>
          <w:t>2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BB3B2E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BB3B2E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BB3B2E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BB3B2E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BB3B2E" w:rsidRPr="00941060">
      <w:rPr>
        <w:color w:val="5B9BD5"/>
      </w:rPr>
      <w:fldChar w:fldCharType="separate"/>
    </w:r>
    <w:r w:rsidR="00E40F41">
      <w:rPr>
        <w:noProof/>
        <w:color w:val="5B9BD5"/>
      </w:rPr>
      <w:t>9</w:t>
    </w:r>
    <w:r w:rsidR="00BB3B2E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7A" w:rsidRDefault="00490A7A" w:rsidP="00420C0C">
      <w:pPr>
        <w:spacing w:after="0" w:line="240" w:lineRule="auto"/>
      </w:pPr>
      <w:r>
        <w:separator/>
      </w:r>
    </w:p>
  </w:footnote>
  <w:footnote w:type="continuationSeparator" w:id="0">
    <w:p w:rsidR="00490A7A" w:rsidRDefault="00490A7A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A548B3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A548B3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53668"/>
    <w:rsid w:val="000879DB"/>
    <w:rsid w:val="000D4F73"/>
    <w:rsid w:val="000D60FE"/>
    <w:rsid w:val="000E4F38"/>
    <w:rsid w:val="00124B37"/>
    <w:rsid w:val="00130C17"/>
    <w:rsid w:val="001338D8"/>
    <w:rsid w:val="00133964"/>
    <w:rsid w:val="0015774C"/>
    <w:rsid w:val="001F04D6"/>
    <w:rsid w:val="001F2073"/>
    <w:rsid w:val="00221BC5"/>
    <w:rsid w:val="00224C44"/>
    <w:rsid w:val="002273F7"/>
    <w:rsid w:val="00234946"/>
    <w:rsid w:val="0023517D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76C1C"/>
    <w:rsid w:val="00383861"/>
    <w:rsid w:val="00385EEB"/>
    <w:rsid w:val="003C5D50"/>
    <w:rsid w:val="003D495E"/>
    <w:rsid w:val="00420C0C"/>
    <w:rsid w:val="00425A06"/>
    <w:rsid w:val="0044201C"/>
    <w:rsid w:val="004430C2"/>
    <w:rsid w:val="004465CC"/>
    <w:rsid w:val="00477DCB"/>
    <w:rsid w:val="00490A7A"/>
    <w:rsid w:val="004F0142"/>
    <w:rsid w:val="004F272A"/>
    <w:rsid w:val="00505F70"/>
    <w:rsid w:val="00577C32"/>
    <w:rsid w:val="0059224E"/>
    <w:rsid w:val="005C013D"/>
    <w:rsid w:val="00626D5E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442B"/>
    <w:rsid w:val="00726E37"/>
    <w:rsid w:val="00727C06"/>
    <w:rsid w:val="007A1EE5"/>
    <w:rsid w:val="007B5FF3"/>
    <w:rsid w:val="00807845"/>
    <w:rsid w:val="00830FAB"/>
    <w:rsid w:val="00857D66"/>
    <w:rsid w:val="008715BD"/>
    <w:rsid w:val="008854DB"/>
    <w:rsid w:val="008859E2"/>
    <w:rsid w:val="008B23C7"/>
    <w:rsid w:val="008E4622"/>
    <w:rsid w:val="00924C9B"/>
    <w:rsid w:val="00941060"/>
    <w:rsid w:val="00946913"/>
    <w:rsid w:val="00953CEB"/>
    <w:rsid w:val="00960708"/>
    <w:rsid w:val="00994490"/>
    <w:rsid w:val="009A7B98"/>
    <w:rsid w:val="009D7BCA"/>
    <w:rsid w:val="009E74B2"/>
    <w:rsid w:val="00A24924"/>
    <w:rsid w:val="00A260E3"/>
    <w:rsid w:val="00A30199"/>
    <w:rsid w:val="00A30398"/>
    <w:rsid w:val="00A548B3"/>
    <w:rsid w:val="00A57F9A"/>
    <w:rsid w:val="00AA2420"/>
    <w:rsid w:val="00AB689E"/>
    <w:rsid w:val="00AB6CE5"/>
    <w:rsid w:val="00AD5870"/>
    <w:rsid w:val="00AD664C"/>
    <w:rsid w:val="00B52E51"/>
    <w:rsid w:val="00B6026F"/>
    <w:rsid w:val="00B61163"/>
    <w:rsid w:val="00BA2B32"/>
    <w:rsid w:val="00BB3B2E"/>
    <w:rsid w:val="00BC502E"/>
    <w:rsid w:val="00BD1099"/>
    <w:rsid w:val="00BD1F78"/>
    <w:rsid w:val="00BF6FA8"/>
    <w:rsid w:val="00C12051"/>
    <w:rsid w:val="00C45D6A"/>
    <w:rsid w:val="00C9016F"/>
    <w:rsid w:val="00CA02A8"/>
    <w:rsid w:val="00CD7636"/>
    <w:rsid w:val="00D151D6"/>
    <w:rsid w:val="00D22D25"/>
    <w:rsid w:val="00D354A4"/>
    <w:rsid w:val="00D44B2F"/>
    <w:rsid w:val="00D63982"/>
    <w:rsid w:val="00DB60EF"/>
    <w:rsid w:val="00DE4CD2"/>
    <w:rsid w:val="00E303C6"/>
    <w:rsid w:val="00E40F41"/>
    <w:rsid w:val="00E51DD9"/>
    <w:rsid w:val="00EA5F3E"/>
    <w:rsid w:val="00EB1CA3"/>
    <w:rsid w:val="00EB2B31"/>
    <w:rsid w:val="00ED0A01"/>
    <w:rsid w:val="00EF0D47"/>
    <w:rsid w:val="00F010B5"/>
    <w:rsid w:val="00F60A1E"/>
    <w:rsid w:val="00F60FD4"/>
    <w:rsid w:val="00F76120"/>
    <w:rsid w:val="00F813C8"/>
    <w:rsid w:val="00F82427"/>
    <w:rsid w:val="00F85CFA"/>
    <w:rsid w:val="00F87500"/>
    <w:rsid w:val="00FC7395"/>
    <w:rsid w:val="00FD0DBD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EDE46F-9C0B-4A69-A85A-1E0D149E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23517D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unhideWhenUsed/>
    <w:rsid w:val="00235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kaczmarek@umed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2675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Links>
    <vt:vector size="12" baseType="variant"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2018-06-28T10:24:00Z</cp:lastPrinted>
  <dcterms:created xsi:type="dcterms:W3CDTF">2018-07-19T06:45:00Z</dcterms:created>
  <dcterms:modified xsi:type="dcterms:W3CDTF">2018-07-19T06:45:00Z</dcterms:modified>
</cp:coreProperties>
</file>